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Theme="minorEastAsia"/>
        </w:rPr>
      </w:pPr>
      <w:r>
        <mc:AlternateContent>
          <mc:Choice Requires="wps">
            <w:drawing>
              <wp:anchor distT="0" distB="0" distL="114300" distR="114300" simplePos="0" relativeHeight="251660288" behindDoc="0" locked="0" layoutInCell="1" allowOverlap="1">
                <wp:simplePos x="0" y="0"/>
                <wp:positionH relativeFrom="column">
                  <wp:posOffset>-911225</wp:posOffset>
                </wp:positionH>
                <wp:positionV relativeFrom="paragraph">
                  <wp:posOffset>623570</wp:posOffset>
                </wp:positionV>
                <wp:extent cx="7574915" cy="16668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574915" cy="1666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before="156" w:beforeLines="50" w:line="660" w:lineRule="exact"/>
                              <w:jc w:val="center"/>
                              <w:rPr>
                                <w:rFonts w:ascii="黑体" w:hAnsi="黑体" w:eastAsia="黑体"/>
                                <w:bCs/>
                                <w:color w:val="000000"/>
                                <w:spacing w:val="20"/>
                                <w:sz w:val="72"/>
                                <w:szCs w:val="72"/>
                              </w:rPr>
                            </w:pPr>
                            <w:r>
                              <w:rPr>
                                <w:rFonts w:hint="eastAsia" w:ascii="黑体" w:hAnsi="黑体" w:eastAsia="黑体"/>
                                <w:bCs/>
                                <w:color w:val="000000"/>
                                <w:spacing w:val="20"/>
                                <w:sz w:val="72"/>
                                <w:szCs w:val="72"/>
                              </w:rPr>
                              <w:t>汽车运用与维修专业</w:t>
                            </w:r>
                          </w:p>
                          <w:p>
                            <w:pPr>
                              <w:adjustRightInd w:val="0"/>
                              <w:snapToGrid w:val="0"/>
                              <w:spacing w:before="156" w:beforeLines="50" w:line="660" w:lineRule="exact"/>
                              <w:jc w:val="center"/>
                              <w:rPr>
                                <w:rFonts w:ascii="黑体" w:hAnsi="黑体" w:eastAsia="黑体"/>
                                <w:color w:val="000000"/>
                                <w:sz w:val="72"/>
                                <w:szCs w:val="72"/>
                              </w:rPr>
                            </w:pPr>
                            <w:r>
                              <w:rPr>
                                <w:rFonts w:hint="eastAsia" w:ascii="黑体" w:hAnsi="黑体" w:eastAsia="黑体"/>
                                <w:bCs/>
                                <w:color w:val="000000"/>
                                <w:sz w:val="72"/>
                                <w:szCs w:val="72"/>
                              </w:rPr>
                              <w:t>人才培养方</w:t>
                            </w:r>
                            <w:r>
                              <w:rPr>
                                <w:rFonts w:hint="eastAsia" w:ascii="黑体" w:hAnsi="黑体" w:eastAsia="黑体"/>
                                <w:color w:val="000000"/>
                                <w:sz w:val="72"/>
                                <w:szCs w:val="72"/>
                              </w:rPr>
                              <w:t>案</w:t>
                            </w:r>
                          </w:p>
                          <w:p>
                            <w:pPr>
                              <w:adjustRightInd w:val="0"/>
                              <w:snapToGrid w:val="0"/>
                              <w:spacing w:before="156" w:beforeLines="50" w:line="660" w:lineRule="exact"/>
                              <w:jc w:val="center"/>
                              <w:rPr>
                                <w:rFonts w:ascii="黑体" w:hAnsi="黑体" w:eastAsia="黑体"/>
                                <w:color w:val="000000"/>
                                <w:spacing w:val="-30"/>
                                <w:sz w:val="44"/>
                                <w:szCs w:val="4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5pt;margin-top:49.1pt;height:131.25pt;width:596.45pt;z-index:251660288;mso-width-relative:page;mso-height-relative:page;" filled="f" stroked="f" coordsize="21600,21600" o:gfxdata="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1fOS7eAAAADAEAAA8AAAAAAAAAAQAgAAAA&#10;IgAAAGRycy9kb3ducmV2LnhtbFBLAQIUABQAAAAIAIdO4kAIt3XDPgIAAGkEAAAOAAAAAAAAAAEA&#10;IAAAAC0BAABkcnMvZTJvRG9jLnhtbFBLBQYAAAAABgAGAFkBAADdBQAAAAA=&#10;">
                <v:fill on="f" focussize="0,0"/>
                <v:stroke on="f" weight="0.5pt"/>
                <v:imagedata o:title=""/>
                <o:lock v:ext="edit" aspectratio="f"/>
                <v:textbox>
                  <w:txbxContent>
                    <w:p>
                      <w:pPr>
                        <w:adjustRightInd w:val="0"/>
                        <w:snapToGrid w:val="0"/>
                        <w:spacing w:before="156" w:beforeLines="50" w:line="660" w:lineRule="exact"/>
                        <w:jc w:val="center"/>
                        <w:rPr>
                          <w:rFonts w:ascii="黑体" w:hAnsi="黑体" w:eastAsia="黑体"/>
                          <w:bCs/>
                          <w:color w:val="000000"/>
                          <w:spacing w:val="20"/>
                          <w:sz w:val="72"/>
                          <w:szCs w:val="72"/>
                        </w:rPr>
                      </w:pPr>
                      <w:r>
                        <w:rPr>
                          <w:rFonts w:hint="eastAsia" w:ascii="黑体" w:hAnsi="黑体" w:eastAsia="黑体"/>
                          <w:bCs/>
                          <w:color w:val="000000"/>
                          <w:spacing w:val="20"/>
                          <w:sz w:val="72"/>
                          <w:szCs w:val="72"/>
                        </w:rPr>
                        <w:t>汽车运用与维修专业</w:t>
                      </w:r>
                    </w:p>
                    <w:p>
                      <w:pPr>
                        <w:adjustRightInd w:val="0"/>
                        <w:snapToGrid w:val="0"/>
                        <w:spacing w:before="156" w:beforeLines="50" w:line="660" w:lineRule="exact"/>
                        <w:jc w:val="center"/>
                        <w:rPr>
                          <w:rFonts w:ascii="黑体" w:hAnsi="黑体" w:eastAsia="黑体"/>
                          <w:color w:val="000000"/>
                          <w:sz w:val="72"/>
                          <w:szCs w:val="72"/>
                        </w:rPr>
                      </w:pPr>
                      <w:r>
                        <w:rPr>
                          <w:rFonts w:hint="eastAsia" w:ascii="黑体" w:hAnsi="黑体" w:eastAsia="黑体"/>
                          <w:bCs/>
                          <w:color w:val="000000"/>
                          <w:sz w:val="72"/>
                          <w:szCs w:val="72"/>
                        </w:rPr>
                        <w:t>人才培养方</w:t>
                      </w:r>
                      <w:r>
                        <w:rPr>
                          <w:rFonts w:hint="eastAsia" w:ascii="黑体" w:hAnsi="黑体" w:eastAsia="黑体"/>
                          <w:color w:val="000000"/>
                          <w:sz w:val="72"/>
                          <w:szCs w:val="72"/>
                        </w:rPr>
                        <w:t>案</w:t>
                      </w:r>
                    </w:p>
                    <w:p>
                      <w:pPr>
                        <w:adjustRightInd w:val="0"/>
                        <w:snapToGrid w:val="0"/>
                        <w:spacing w:before="156" w:beforeLines="50" w:line="660" w:lineRule="exact"/>
                        <w:jc w:val="center"/>
                        <w:rPr>
                          <w:rFonts w:ascii="黑体" w:hAnsi="黑体" w:eastAsia="黑体"/>
                          <w:color w:val="000000"/>
                          <w:spacing w:val="-30"/>
                          <w:sz w:val="44"/>
                          <w:szCs w:val="44"/>
                        </w:rPr>
                      </w:pPr>
                    </w:p>
                  </w:txbxContent>
                </v:textbox>
              </v:shape>
            </w:pict>
          </mc:Fallback>
        </mc:AlternateContent>
      </w:r>
      <w:r>
        <w:drawing>
          <wp:anchor distT="0" distB="0" distL="114300" distR="114300" simplePos="0" relativeHeight="251659264" behindDoc="1" locked="0" layoutInCell="1" allowOverlap="1">
            <wp:simplePos x="0" y="0"/>
            <wp:positionH relativeFrom="column">
              <wp:posOffset>-1090930</wp:posOffset>
            </wp:positionH>
            <wp:positionV relativeFrom="paragraph">
              <wp:posOffset>-948055</wp:posOffset>
            </wp:positionV>
            <wp:extent cx="7810500" cy="10724515"/>
            <wp:effectExtent l="0" t="0" r="0"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7810500" cy="10724515"/>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-895985</wp:posOffset>
                </wp:positionH>
                <wp:positionV relativeFrom="paragraph">
                  <wp:posOffset>5993130</wp:posOffset>
                </wp:positionV>
                <wp:extent cx="7574915" cy="10236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574915" cy="10236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520" w:lineRule="exact"/>
                              <w:jc w:val="center"/>
                              <w:rPr>
                                <w:rFonts w:ascii="黑体" w:hAnsi="黑体" w:eastAsia="黑体"/>
                                <w:color w:val="000000"/>
                                <w:sz w:val="44"/>
                                <w:szCs w:val="44"/>
                              </w:rPr>
                            </w:pPr>
                            <w:r>
                              <w:rPr>
                                <w:rFonts w:hint="default" w:ascii="黑体" w:hAnsi="黑体" w:eastAsia="黑体"/>
                                <w:color w:val="000000"/>
                                <w:sz w:val="44"/>
                                <w:szCs w:val="44"/>
                              </w:rPr>
                              <w:t>2021级汽修班用</w:t>
                            </w:r>
                          </w:p>
                          <w:p>
                            <w:pPr>
                              <w:adjustRightInd w:val="0"/>
                              <w:snapToGrid w:val="0"/>
                              <w:spacing w:before="156" w:beforeLines="50" w:line="660" w:lineRule="exact"/>
                              <w:jc w:val="center"/>
                              <w:rPr>
                                <w:rFonts w:ascii="黑体" w:hAnsi="黑体" w:eastAsia="黑体"/>
                                <w:color w:val="000000"/>
                                <w:sz w:val="44"/>
                                <w:szCs w:val="44"/>
                              </w:rPr>
                            </w:pPr>
                          </w:p>
                          <w:p>
                            <w:pPr>
                              <w:jc w:val="center"/>
                              <w:rPr>
                                <w:rFonts w:ascii="汉仪雅酷黑 75W" w:hAnsi="汉仪雅酷黑 75W" w:eastAsia="汉仪雅酷黑 75W" w:cs="汉仪雅酷黑 75W"/>
                                <w:b/>
                                <w:bCs/>
                                <w:color w:val="595959" w:themeColor="text1" w:themeTint="A6"/>
                                <w:sz w:val="72"/>
                                <w:szCs w:val="72"/>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55pt;margin-top:471.9pt;height:80.6pt;width:596.45pt;z-index:251661312;mso-width-relative:page;mso-height-relative:page;" filled="f" stroked="f" coordsize="21600,21600" o:gfxdata="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KYksNwAAAAOAQAADwAAAAAAAAABACAAAAAi&#10;AAAAZHJzL2Rvd25yZXYueG1sUEsBAhQAFAAAAAgAh07iQO4aKcM/AgAAZwQAAA4AAAAAAAAAAQAg&#10;AAAAKwEAAGRycy9lMm9Eb2MueG1sUEsFBgAAAAAGAAYAWQEAANwFAAAAAA==&#10;">
                <v:fill on="f" focussize="0,0"/>
                <v:stroke on="f" weight="0.5pt"/>
                <v:imagedata o:title=""/>
                <o:lock v:ext="edit" aspectratio="f"/>
                <v:textbox>
                  <w:txbxContent>
                    <w:p>
                      <w:pPr>
                        <w:adjustRightInd w:val="0"/>
                        <w:snapToGrid w:val="0"/>
                        <w:spacing w:line="520" w:lineRule="exact"/>
                        <w:jc w:val="center"/>
                        <w:rPr>
                          <w:rFonts w:ascii="黑体" w:hAnsi="黑体" w:eastAsia="黑体"/>
                          <w:color w:val="000000"/>
                          <w:sz w:val="44"/>
                          <w:szCs w:val="44"/>
                        </w:rPr>
                      </w:pPr>
                      <w:r>
                        <w:rPr>
                          <w:rFonts w:hint="default" w:ascii="黑体" w:hAnsi="黑体" w:eastAsia="黑体"/>
                          <w:color w:val="000000"/>
                          <w:sz w:val="44"/>
                          <w:szCs w:val="44"/>
                        </w:rPr>
                        <w:t>2021级汽修班用</w:t>
                      </w:r>
                    </w:p>
                    <w:p>
                      <w:pPr>
                        <w:adjustRightInd w:val="0"/>
                        <w:snapToGrid w:val="0"/>
                        <w:spacing w:before="156" w:beforeLines="50" w:line="660" w:lineRule="exact"/>
                        <w:jc w:val="center"/>
                        <w:rPr>
                          <w:rFonts w:ascii="黑体" w:hAnsi="黑体" w:eastAsia="黑体"/>
                          <w:color w:val="000000"/>
                          <w:sz w:val="44"/>
                          <w:szCs w:val="44"/>
                        </w:rPr>
                      </w:pPr>
                    </w:p>
                    <w:p>
                      <w:pPr>
                        <w:jc w:val="center"/>
                        <w:rPr>
                          <w:rFonts w:ascii="汉仪雅酷黑 75W" w:hAnsi="汉仪雅酷黑 75W" w:eastAsia="汉仪雅酷黑 75W" w:cs="汉仪雅酷黑 75W"/>
                          <w:b/>
                          <w:bCs/>
                          <w:color w:val="595959" w:themeColor="text1" w:themeTint="A6"/>
                          <w:sz w:val="72"/>
                          <w:szCs w:val="72"/>
                          <w14:textFill>
                            <w14:solidFill>
                              <w14:schemeClr w14:val="tx1">
                                <w14:lumMod w14:val="65000"/>
                                <w14:lumOff w14:val="35000"/>
                              </w14:schemeClr>
                            </w14:solidFill>
                          </w14:textFill>
                        </w:rPr>
                      </w:pPr>
                    </w:p>
                  </w:txbxContent>
                </v:textbox>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-1137285</wp:posOffset>
                </wp:positionH>
                <wp:positionV relativeFrom="paragraph">
                  <wp:posOffset>3850640</wp:posOffset>
                </wp:positionV>
                <wp:extent cx="7569200" cy="0"/>
                <wp:effectExtent l="0" t="0" r="0" b="0"/>
                <wp:wrapNone/>
                <wp:docPr id="5" name="组合 5"/>
                <wp:cNvGraphicFramePr/>
                <a:graphic xmlns:a="http://schemas.openxmlformats.org/drawingml/2006/main">
                  <a:graphicData uri="http://schemas.microsoft.com/office/word/2010/wordprocessingGroup">
                    <wpg:wgp>
                      <wpg:cNvGrpSpPr/>
                      <wpg:grpSpPr>
                        <a:xfrm>
                          <a:off x="0" y="0"/>
                          <a:ext cx="7569200" cy="0"/>
                          <a:chOff x="11608" y="7223"/>
                          <a:chExt cx="11920" cy="0"/>
                        </a:xfrm>
                      </wpg:grpSpPr>
                      <wps:wsp>
                        <wps:cNvPr id="6" name="直接连接符 2"/>
                        <wps:cNvCnPr/>
                        <wps:spPr>
                          <a:xfrm>
                            <a:off x="11608" y="7223"/>
                            <a:ext cx="4847"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8" name="直接连接符 4"/>
                        <wps:cNvCnPr/>
                        <wps:spPr>
                          <a:xfrm>
                            <a:off x="18682" y="7223"/>
                            <a:ext cx="4847"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9.55pt;margin-top:303.2pt;height:0pt;width:596pt;z-index:251664384;mso-width-relative:page;mso-height-relative:page;" coordorigin="11608,7223" coordsize="11920,0" o:gfxdata="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yOcJf2gAAAA0B&#10;AAAPAAAAAAAAAAEAIAAAACIAAABkcnMvZG93bnJldi54bWxQSwECFAAUAAAACACHTuJAXRNhoYsC&#10;AAAoBwAADgAAAAAAAAABACAAAAApAQAAZHJzL2Uyb0RvYy54bWxQSwUGAAAAAAYABgBZAQAAJgYA&#10;AAAA&#10;">
                <o:lock v:ext="edit" aspectratio="f"/>
                <v:line id="直接连接符 2" o:spid="_x0000_s1026" o:spt="20" style="position:absolute;left:11608;top:7223;height:0;width:4847;" filled="f" stroked="t" coordsize="21600,21600" o:gfxdata="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Q9FC/&#10;AAAA2gAAAA8AAAAAAAAAAQAgAAAAIgAAAGRycy9kb3ducmV2LnhtbFBLAQIUABQAAAAIAIdO4kAz&#10;LwWeOwAAADkAAAAQAAAAAAAAAAEAIAAAAA4BAABkcnMvc2hhcGV4bWwueG1sUEsFBgAAAAAGAAYA&#10;WwEAALgDAAAAAA==&#10;">
                  <v:fill on="f" focussize="0,0"/>
                  <v:stroke weight="0.5pt" color="#595959 [2109]" miterlimit="8" joinstyle="miter"/>
                  <v:imagedata o:title=""/>
                  <o:lock v:ext="edit" aspectratio="f"/>
                </v:line>
                <v:line id="直接连接符 4" o:spid="_x0000_s1026" o:spt="20" style="position:absolute;left:18682;top:7223;height:0;width:4847;" filled="f" stroked="t" coordsize="21600,21600" o:gfxdata="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Q8W5twAAANoAAAAP&#10;AAAAAAAAAAEAIAAAACIAAABkcnMvZG93bnJldi54bWxQSwECFAAUAAAACACHTuJAMy8FnjsAAAA5&#10;AAAAEAAAAAAAAAABACAAAAAGAQAAZHJzL3NoYXBleG1sLnhtbFBLBQYAAAAABgAGAFsBAACwAwAA&#10;AAA=&#10;">
                  <v:fill on="f" focussize="0,0"/>
                  <v:stroke weight="0.5pt" color="#595959 [2109]" miterlimit="8" joinstyle="miter"/>
                  <v:imagedata o:title=""/>
                  <o:lock v:ext="edit" aspectratio="f"/>
                </v:line>
              </v:group>
            </w:pict>
          </mc:Fallback>
        </mc:AlternateContent>
      </w:r>
    </w:p>
    <w:p>
      <w:pPr>
        <w:adjustRightInd w:val="0"/>
        <w:snapToGrid w:val="0"/>
        <w:spacing w:before="156" w:beforeLines="50" w:line="660" w:lineRule="exact"/>
        <w:jc w:val="center"/>
        <w:rPr>
          <w:rFonts w:ascii="黑体" w:hAnsi="黑体" w:eastAsia="黑体"/>
          <w:bCs/>
          <w:color w:val="000000"/>
          <w:spacing w:val="20"/>
          <w:sz w:val="72"/>
          <w:szCs w:val="72"/>
        </w:rPr>
        <w:sectPr>
          <w:headerReference r:id="rId3" w:type="default"/>
          <w:footerReference r:id="rId5" w:type="default"/>
          <w:headerReference r:id="rId4" w:type="even"/>
          <w:footerReference r:id="rId6" w:type="even"/>
          <w:pgSz w:w="11906" w:h="16838"/>
          <w:pgMar w:top="1418" w:right="1418" w:bottom="1134" w:left="1418" w:header="851" w:footer="850" w:gutter="0"/>
          <w:pgNumType w:fmt="decimal" w:start="1"/>
          <w:cols w:space="720" w:num="1"/>
          <w:docGrid w:type="lines" w:linePitch="312" w:charSpace="0"/>
        </w:sectPr>
      </w:pPr>
    </w:p>
    <w:p>
      <w:pPr>
        <w:spacing w:before="0" w:beforeLines="0" w:after="0" w:afterLines="0" w:line="240" w:lineRule="auto"/>
        <w:ind w:left="0" w:leftChars="0" w:right="0" w:rightChars="0" w:firstLine="0" w:firstLineChars="0"/>
        <w:jc w:val="center"/>
      </w:pPr>
    </w:p>
    <w:sdt>
      <w:sdtPr>
        <w:rPr>
          <w:rFonts w:ascii="宋体" w:hAnsi="宋体" w:eastAsia="宋体" w:cs="Times New Roman"/>
          <w:kern w:val="2"/>
          <w:sz w:val="21"/>
          <w:szCs w:val="24"/>
          <w:lang w:val="en-US" w:eastAsia="zh-CN" w:bidi="ar-SA"/>
        </w:rPr>
        <w:id w:val="96836779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2"/>
              <w:szCs w:val="40"/>
            </w:rPr>
          </w:pPr>
          <w:r>
            <w:rPr>
              <w:rFonts w:ascii="宋体" w:hAnsi="宋体" w:eastAsia="宋体"/>
              <w:b/>
              <w:bCs/>
              <w:sz w:val="32"/>
              <w:szCs w:val="40"/>
            </w:rPr>
            <w:t>目录</w:t>
          </w:r>
        </w:p>
        <w:p>
          <w:pPr>
            <w:pStyle w:val="16"/>
            <w:tabs>
              <w:tab w:val="right" w:leader="dot" w:pos="9070"/>
            </w:tabs>
          </w:pPr>
          <w:r>
            <w:fldChar w:fldCharType="begin"/>
          </w:r>
          <w:r>
            <w:instrText xml:space="preserve">TOC \o "1-2" \t "目录" \h \u </w:instrText>
          </w:r>
          <w:r>
            <w:fldChar w:fldCharType="separate"/>
          </w:r>
          <w:r>
            <w:fldChar w:fldCharType="begin"/>
          </w:r>
          <w:r>
            <w:instrText xml:space="preserve"> HYPERLINK \l _Toc230561194 </w:instrText>
          </w:r>
          <w:r>
            <w:fldChar w:fldCharType="separate"/>
          </w:r>
          <w:r>
            <w:rPr>
              <w:rFonts w:hint="eastAsia" w:ascii="黑体" w:hAnsi="黑体" w:eastAsia="黑体"/>
              <w:szCs w:val="26"/>
            </w:rPr>
            <w:t>一、专业名称及代码</w:t>
          </w:r>
          <w:r>
            <w:tab/>
          </w:r>
          <w:r>
            <w:fldChar w:fldCharType="begin"/>
          </w:r>
          <w:r>
            <w:instrText xml:space="preserve"> PAGEREF _Toc230561194 \h </w:instrText>
          </w:r>
          <w:r>
            <w:fldChar w:fldCharType="separate"/>
          </w:r>
          <w:r>
            <w:t>2</w:t>
          </w:r>
          <w:r>
            <w:fldChar w:fldCharType="end"/>
          </w:r>
          <w:r>
            <w:fldChar w:fldCharType="end"/>
          </w:r>
        </w:p>
        <w:p>
          <w:pPr>
            <w:pStyle w:val="16"/>
            <w:tabs>
              <w:tab w:val="right" w:leader="dot" w:pos="9070"/>
            </w:tabs>
          </w:pPr>
          <w:r>
            <w:fldChar w:fldCharType="begin"/>
          </w:r>
          <w:r>
            <w:instrText xml:space="preserve"> HYPERLINK \l _Toc251200972 </w:instrText>
          </w:r>
          <w:r>
            <w:fldChar w:fldCharType="separate"/>
          </w:r>
          <w:r>
            <w:rPr>
              <w:rFonts w:hint="eastAsia" w:ascii="黑体" w:hAnsi="黑体" w:eastAsia="黑体"/>
              <w:szCs w:val="26"/>
            </w:rPr>
            <w:t>二、入学要求</w:t>
          </w:r>
          <w:r>
            <w:tab/>
          </w:r>
          <w:r>
            <w:fldChar w:fldCharType="begin"/>
          </w:r>
          <w:r>
            <w:instrText xml:space="preserve"> PAGEREF _Toc251200972 \h </w:instrText>
          </w:r>
          <w:r>
            <w:fldChar w:fldCharType="separate"/>
          </w:r>
          <w:r>
            <w:t>2</w:t>
          </w:r>
          <w:r>
            <w:fldChar w:fldCharType="end"/>
          </w:r>
          <w:r>
            <w:fldChar w:fldCharType="end"/>
          </w:r>
        </w:p>
        <w:p>
          <w:pPr>
            <w:pStyle w:val="16"/>
            <w:tabs>
              <w:tab w:val="right" w:leader="dot" w:pos="9070"/>
            </w:tabs>
          </w:pPr>
          <w:r>
            <w:fldChar w:fldCharType="begin"/>
          </w:r>
          <w:r>
            <w:instrText xml:space="preserve"> HYPERLINK \l _Toc1914060712 </w:instrText>
          </w:r>
          <w:r>
            <w:fldChar w:fldCharType="separate"/>
          </w:r>
          <w:r>
            <w:rPr>
              <w:rFonts w:hint="eastAsia" w:ascii="黑体" w:hAnsi="黑体" w:eastAsia="黑体"/>
              <w:szCs w:val="26"/>
            </w:rPr>
            <w:t>三、修业年限</w:t>
          </w:r>
          <w:r>
            <w:tab/>
          </w:r>
          <w:r>
            <w:fldChar w:fldCharType="begin"/>
          </w:r>
          <w:r>
            <w:instrText xml:space="preserve"> PAGEREF _Toc1914060712 \h </w:instrText>
          </w:r>
          <w:r>
            <w:fldChar w:fldCharType="separate"/>
          </w:r>
          <w:r>
            <w:t>2</w:t>
          </w:r>
          <w:r>
            <w:fldChar w:fldCharType="end"/>
          </w:r>
          <w:r>
            <w:fldChar w:fldCharType="end"/>
          </w:r>
        </w:p>
        <w:p>
          <w:pPr>
            <w:pStyle w:val="16"/>
            <w:tabs>
              <w:tab w:val="right" w:leader="dot" w:pos="9070"/>
            </w:tabs>
          </w:pPr>
          <w:r>
            <w:fldChar w:fldCharType="begin"/>
          </w:r>
          <w:r>
            <w:instrText xml:space="preserve"> HYPERLINK \l _Toc1131994605 </w:instrText>
          </w:r>
          <w:r>
            <w:fldChar w:fldCharType="separate"/>
          </w:r>
          <w:r>
            <w:rPr>
              <w:rFonts w:hint="eastAsia" w:ascii="黑体" w:hAnsi="黑体" w:eastAsia="黑体"/>
              <w:szCs w:val="26"/>
            </w:rPr>
            <w:t>四、职业面向</w:t>
          </w:r>
          <w:r>
            <w:tab/>
          </w:r>
          <w:r>
            <w:fldChar w:fldCharType="begin"/>
          </w:r>
          <w:r>
            <w:instrText xml:space="preserve"> PAGEREF _Toc1131994605 \h </w:instrText>
          </w:r>
          <w:r>
            <w:fldChar w:fldCharType="separate"/>
          </w:r>
          <w:r>
            <w:t>2</w:t>
          </w:r>
          <w:r>
            <w:fldChar w:fldCharType="end"/>
          </w:r>
          <w:r>
            <w:fldChar w:fldCharType="end"/>
          </w:r>
        </w:p>
        <w:p>
          <w:pPr>
            <w:pStyle w:val="16"/>
            <w:tabs>
              <w:tab w:val="right" w:leader="dot" w:pos="9070"/>
            </w:tabs>
          </w:pPr>
          <w:r>
            <w:fldChar w:fldCharType="begin"/>
          </w:r>
          <w:r>
            <w:instrText xml:space="preserve"> HYPERLINK \l _Toc1163039879 </w:instrText>
          </w:r>
          <w:r>
            <w:fldChar w:fldCharType="separate"/>
          </w:r>
          <w:r>
            <w:rPr>
              <w:rFonts w:hint="eastAsia" w:ascii="黑体" w:hAnsi="黑体" w:eastAsia="黑体"/>
              <w:szCs w:val="26"/>
            </w:rPr>
            <w:t>五、培养目标与培养</w:t>
          </w:r>
          <w:r>
            <w:rPr>
              <w:rFonts w:ascii="黑体" w:hAnsi="黑体" w:eastAsia="黑体"/>
              <w:szCs w:val="26"/>
            </w:rPr>
            <w:t>规格</w:t>
          </w:r>
          <w:r>
            <w:tab/>
          </w:r>
          <w:r>
            <w:fldChar w:fldCharType="begin"/>
          </w:r>
          <w:r>
            <w:instrText xml:space="preserve"> PAGEREF _Toc1163039879 \h </w:instrText>
          </w:r>
          <w:r>
            <w:fldChar w:fldCharType="separate"/>
          </w:r>
          <w:r>
            <w:t>2</w:t>
          </w:r>
          <w:r>
            <w:fldChar w:fldCharType="end"/>
          </w:r>
          <w:r>
            <w:fldChar w:fldCharType="end"/>
          </w:r>
        </w:p>
        <w:p>
          <w:pPr>
            <w:pStyle w:val="18"/>
            <w:tabs>
              <w:tab w:val="right" w:leader="dot" w:pos="9070"/>
            </w:tabs>
          </w:pPr>
          <w:r>
            <w:fldChar w:fldCharType="begin"/>
          </w:r>
          <w:r>
            <w:instrText xml:space="preserve"> HYPERLINK \l _Toc757526311 </w:instrText>
          </w:r>
          <w:r>
            <w:fldChar w:fldCharType="separate"/>
          </w:r>
          <w:r>
            <w:rPr>
              <w:rFonts w:hint="eastAsia" w:ascii="楷体" w:hAnsi="楷体" w:eastAsia="楷体"/>
              <w:szCs w:val="26"/>
            </w:rPr>
            <w:t>（一）培养目标</w:t>
          </w:r>
          <w:r>
            <w:tab/>
          </w:r>
          <w:r>
            <w:fldChar w:fldCharType="begin"/>
          </w:r>
          <w:r>
            <w:instrText xml:space="preserve"> PAGEREF _Toc757526311 \h </w:instrText>
          </w:r>
          <w:r>
            <w:fldChar w:fldCharType="separate"/>
          </w:r>
          <w:r>
            <w:t>2</w:t>
          </w:r>
          <w:r>
            <w:fldChar w:fldCharType="end"/>
          </w:r>
          <w:r>
            <w:fldChar w:fldCharType="end"/>
          </w:r>
        </w:p>
        <w:p>
          <w:pPr>
            <w:pStyle w:val="18"/>
            <w:tabs>
              <w:tab w:val="right" w:leader="dot" w:pos="9070"/>
            </w:tabs>
          </w:pPr>
          <w:r>
            <w:fldChar w:fldCharType="begin"/>
          </w:r>
          <w:r>
            <w:instrText xml:space="preserve"> HYPERLINK \l _Toc1353143062 </w:instrText>
          </w:r>
          <w:r>
            <w:fldChar w:fldCharType="separate"/>
          </w:r>
          <w:r>
            <w:rPr>
              <w:rFonts w:hint="eastAsia" w:ascii="楷体" w:hAnsi="楷体" w:eastAsia="楷体"/>
              <w:szCs w:val="26"/>
            </w:rPr>
            <w:t>（二）培养规格</w:t>
          </w:r>
          <w:r>
            <w:tab/>
          </w:r>
          <w:r>
            <w:fldChar w:fldCharType="begin"/>
          </w:r>
          <w:r>
            <w:instrText xml:space="preserve"> PAGEREF _Toc1353143062 \h </w:instrText>
          </w:r>
          <w:r>
            <w:fldChar w:fldCharType="separate"/>
          </w:r>
          <w:r>
            <w:t>2</w:t>
          </w:r>
          <w:r>
            <w:fldChar w:fldCharType="end"/>
          </w:r>
          <w:r>
            <w:fldChar w:fldCharType="end"/>
          </w:r>
        </w:p>
        <w:p>
          <w:pPr>
            <w:pStyle w:val="16"/>
            <w:tabs>
              <w:tab w:val="right" w:leader="dot" w:pos="9070"/>
            </w:tabs>
          </w:pPr>
          <w:r>
            <w:fldChar w:fldCharType="begin"/>
          </w:r>
          <w:r>
            <w:instrText xml:space="preserve"> HYPERLINK \l _Toc1809760270 </w:instrText>
          </w:r>
          <w:r>
            <w:fldChar w:fldCharType="separate"/>
          </w:r>
          <w:r>
            <w:rPr>
              <w:rFonts w:hint="eastAsia" w:ascii="黑体" w:hAnsi="黑体" w:eastAsia="黑体"/>
              <w:szCs w:val="26"/>
            </w:rPr>
            <w:t>六</w:t>
          </w:r>
          <w:r>
            <w:rPr>
              <w:rFonts w:ascii="黑体" w:hAnsi="黑体" w:eastAsia="黑体"/>
              <w:szCs w:val="26"/>
            </w:rPr>
            <w:t>、</w:t>
          </w:r>
          <w:r>
            <w:rPr>
              <w:rFonts w:hint="eastAsia" w:ascii="黑体" w:hAnsi="黑体" w:eastAsia="黑体"/>
              <w:szCs w:val="26"/>
            </w:rPr>
            <w:t>人才培养模式</w:t>
          </w:r>
          <w:r>
            <w:tab/>
          </w:r>
          <w:r>
            <w:fldChar w:fldCharType="begin"/>
          </w:r>
          <w:r>
            <w:instrText xml:space="preserve"> PAGEREF _Toc1809760270 \h </w:instrText>
          </w:r>
          <w:r>
            <w:fldChar w:fldCharType="separate"/>
          </w:r>
          <w:r>
            <w:t>5</w:t>
          </w:r>
          <w:r>
            <w:fldChar w:fldCharType="end"/>
          </w:r>
          <w:r>
            <w:fldChar w:fldCharType="end"/>
          </w:r>
        </w:p>
        <w:p>
          <w:pPr>
            <w:pStyle w:val="16"/>
            <w:tabs>
              <w:tab w:val="right" w:leader="dot" w:pos="9070"/>
            </w:tabs>
          </w:pPr>
          <w:r>
            <w:fldChar w:fldCharType="begin"/>
          </w:r>
          <w:r>
            <w:instrText xml:space="preserve"> HYPERLINK \l _Toc601197375 </w:instrText>
          </w:r>
          <w:r>
            <w:fldChar w:fldCharType="separate"/>
          </w:r>
          <w:r>
            <w:rPr>
              <w:rFonts w:hint="eastAsia" w:ascii="黑体" w:hAnsi="黑体" w:eastAsia="黑体"/>
              <w:szCs w:val="26"/>
            </w:rPr>
            <w:t>七、课程设置及要求</w:t>
          </w:r>
          <w:r>
            <w:tab/>
          </w:r>
          <w:r>
            <w:fldChar w:fldCharType="begin"/>
          </w:r>
          <w:r>
            <w:instrText xml:space="preserve"> PAGEREF _Toc601197375 \h </w:instrText>
          </w:r>
          <w:r>
            <w:fldChar w:fldCharType="separate"/>
          </w:r>
          <w:r>
            <w:t>5</w:t>
          </w:r>
          <w:r>
            <w:fldChar w:fldCharType="end"/>
          </w:r>
          <w:r>
            <w:fldChar w:fldCharType="end"/>
          </w:r>
        </w:p>
        <w:p>
          <w:pPr>
            <w:pStyle w:val="18"/>
            <w:tabs>
              <w:tab w:val="right" w:leader="dot" w:pos="9070"/>
            </w:tabs>
          </w:pPr>
          <w:r>
            <w:fldChar w:fldCharType="begin"/>
          </w:r>
          <w:r>
            <w:instrText xml:space="preserve"> HYPERLINK \l _Toc1193274455 </w:instrText>
          </w:r>
          <w:r>
            <w:fldChar w:fldCharType="separate"/>
          </w:r>
          <w:r>
            <w:rPr>
              <w:rFonts w:hint="eastAsia" w:ascii="楷体" w:hAnsi="楷体" w:eastAsia="楷体"/>
              <w:bCs/>
              <w:szCs w:val="26"/>
            </w:rPr>
            <w:t>（一）公共基础课程</w:t>
          </w:r>
          <w:r>
            <w:tab/>
          </w:r>
          <w:r>
            <w:fldChar w:fldCharType="begin"/>
          </w:r>
          <w:r>
            <w:instrText xml:space="preserve"> PAGEREF _Toc1193274455 \h </w:instrText>
          </w:r>
          <w:r>
            <w:fldChar w:fldCharType="separate"/>
          </w:r>
          <w:r>
            <w:t>6</w:t>
          </w:r>
          <w:r>
            <w:fldChar w:fldCharType="end"/>
          </w:r>
          <w:r>
            <w:fldChar w:fldCharType="end"/>
          </w:r>
        </w:p>
        <w:p>
          <w:pPr>
            <w:pStyle w:val="18"/>
            <w:tabs>
              <w:tab w:val="right" w:leader="dot" w:pos="9070"/>
            </w:tabs>
          </w:pPr>
          <w:r>
            <w:fldChar w:fldCharType="begin"/>
          </w:r>
          <w:r>
            <w:instrText xml:space="preserve"> HYPERLINK \l _Toc1239414398 </w:instrText>
          </w:r>
          <w:r>
            <w:fldChar w:fldCharType="separate"/>
          </w:r>
          <w:r>
            <w:rPr>
              <w:rFonts w:hint="eastAsia" w:ascii="楷体" w:hAnsi="楷体" w:eastAsia="楷体"/>
              <w:bCs/>
              <w:kern w:val="0"/>
              <w:szCs w:val="26"/>
            </w:rPr>
            <w:t>（二）专业核心课程</w:t>
          </w:r>
          <w:r>
            <w:tab/>
          </w:r>
          <w:r>
            <w:fldChar w:fldCharType="begin"/>
          </w:r>
          <w:r>
            <w:instrText xml:space="preserve"> PAGEREF _Toc1239414398 \h </w:instrText>
          </w:r>
          <w:r>
            <w:fldChar w:fldCharType="separate"/>
          </w:r>
          <w:r>
            <w:t>6</w:t>
          </w:r>
          <w:r>
            <w:fldChar w:fldCharType="end"/>
          </w:r>
          <w:r>
            <w:fldChar w:fldCharType="end"/>
          </w:r>
        </w:p>
        <w:p>
          <w:pPr>
            <w:pStyle w:val="18"/>
            <w:tabs>
              <w:tab w:val="right" w:leader="dot" w:pos="9070"/>
            </w:tabs>
          </w:pPr>
          <w:r>
            <w:fldChar w:fldCharType="begin"/>
          </w:r>
          <w:r>
            <w:instrText xml:space="preserve"> HYPERLINK \l _Toc566320859 </w:instrText>
          </w:r>
          <w:r>
            <w:fldChar w:fldCharType="separate"/>
          </w:r>
          <w:r>
            <w:rPr>
              <w:rFonts w:hint="eastAsia" w:ascii="楷体" w:hAnsi="楷体" w:eastAsia="楷体"/>
              <w:bCs/>
              <w:szCs w:val="26"/>
            </w:rPr>
            <w:t>（三）</w:t>
          </w:r>
          <w:r>
            <w:rPr>
              <w:rFonts w:ascii="楷体" w:hAnsi="楷体" w:eastAsia="楷体"/>
              <w:bCs/>
              <w:szCs w:val="26"/>
            </w:rPr>
            <w:t>专业</w:t>
          </w:r>
          <w:r>
            <w:rPr>
              <w:rFonts w:hint="eastAsia" w:ascii="楷体" w:hAnsi="楷体" w:eastAsia="楷体"/>
              <w:bCs/>
              <w:szCs w:val="26"/>
            </w:rPr>
            <w:t>拓展</w:t>
          </w:r>
          <w:r>
            <w:rPr>
              <w:rFonts w:ascii="楷体" w:hAnsi="楷体" w:eastAsia="楷体"/>
              <w:bCs/>
              <w:szCs w:val="26"/>
            </w:rPr>
            <w:t>课程</w:t>
          </w:r>
          <w:r>
            <w:tab/>
          </w:r>
          <w:r>
            <w:fldChar w:fldCharType="begin"/>
          </w:r>
          <w:r>
            <w:instrText xml:space="preserve"> PAGEREF _Toc566320859 \h </w:instrText>
          </w:r>
          <w:r>
            <w:fldChar w:fldCharType="separate"/>
          </w:r>
          <w:r>
            <w:t>7</w:t>
          </w:r>
          <w:r>
            <w:fldChar w:fldCharType="end"/>
          </w:r>
          <w:r>
            <w:fldChar w:fldCharType="end"/>
          </w:r>
        </w:p>
        <w:p>
          <w:pPr>
            <w:pStyle w:val="18"/>
            <w:tabs>
              <w:tab w:val="right" w:leader="dot" w:pos="9070"/>
            </w:tabs>
          </w:pPr>
          <w:r>
            <w:fldChar w:fldCharType="begin"/>
          </w:r>
          <w:r>
            <w:instrText xml:space="preserve"> HYPERLINK \l _Toc499984962 </w:instrText>
          </w:r>
          <w:r>
            <w:fldChar w:fldCharType="separate"/>
          </w:r>
          <w:r>
            <w:rPr>
              <w:rFonts w:hint="eastAsia" w:ascii="楷体" w:hAnsi="楷体" w:eastAsia="楷体"/>
              <w:bCs/>
              <w:kern w:val="0"/>
              <w:szCs w:val="26"/>
            </w:rPr>
            <w:t>（</w:t>
          </w:r>
          <w:r>
            <w:rPr>
              <w:rFonts w:ascii="楷体" w:hAnsi="楷体" w:eastAsia="楷体"/>
              <w:bCs/>
              <w:kern w:val="0"/>
              <w:szCs w:val="26"/>
            </w:rPr>
            <w:t>四）</w:t>
          </w:r>
          <w:r>
            <w:rPr>
              <w:rFonts w:hint="eastAsia" w:ascii="楷体" w:hAnsi="楷体" w:eastAsia="楷体"/>
              <w:bCs/>
              <w:kern w:val="0"/>
              <w:szCs w:val="26"/>
            </w:rPr>
            <w:t>认知实习、跟岗实习、</w:t>
          </w:r>
          <w:r>
            <w:rPr>
              <w:rFonts w:ascii="楷体" w:hAnsi="楷体" w:eastAsia="楷体"/>
              <w:bCs/>
              <w:kern w:val="0"/>
              <w:szCs w:val="26"/>
            </w:rPr>
            <w:t>顶岗实习</w:t>
          </w:r>
          <w:r>
            <w:tab/>
          </w:r>
          <w:r>
            <w:fldChar w:fldCharType="begin"/>
          </w:r>
          <w:r>
            <w:instrText xml:space="preserve"> PAGEREF _Toc499984962 \h </w:instrText>
          </w:r>
          <w:r>
            <w:fldChar w:fldCharType="separate"/>
          </w:r>
          <w:r>
            <w:t>9</w:t>
          </w:r>
          <w:r>
            <w:fldChar w:fldCharType="end"/>
          </w:r>
          <w:r>
            <w:fldChar w:fldCharType="end"/>
          </w:r>
        </w:p>
        <w:p>
          <w:pPr>
            <w:pStyle w:val="18"/>
            <w:tabs>
              <w:tab w:val="right" w:leader="dot" w:pos="9070"/>
            </w:tabs>
          </w:pPr>
          <w:r>
            <w:fldChar w:fldCharType="begin"/>
          </w:r>
          <w:r>
            <w:instrText xml:space="preserve"> HYPERLINK \l _Toc212995892 </w:instrText>
          </w:r>
          <w:r>
            <w:fldChar w:fldCharType="separate"/>
          </w:r>
          <w:r>
            <w:rPr>
              <w:rFonts w:hint="eastAsia" w:ascii="楷体" w:hAnsi="楷体" w:eastAsia="楷体"/>
              <w:bCs/>
              <w:kern w:val="0"/>
              <w:szCs w:val="26"/>
            </w:rPr>
            <w:t>（</w:t>
          </w:r>
          <w:r>
            <w:rPr>
              <w:rFonts w:ascii="楷体" w:hAnsi="楷体" w:eastAsia="楷体"/>
              <w:bCs/>
              <w:kern w:val="0"/>
              <w:szCs w:val="26"/>
            </w:rPr>
            <w:t>五）</w:t>
          </w:r>
          <w:r>
            <w:rPr>
              <w:rFonts w:hint="eastAsia" w:ascii="楷体" w:hAnsi="楷体" w:eastAsia="楷体"/>
              <w:bCs/>
              <w:kern w:val="0"/>
              <w:szCs w:val="26"/>
            </w:rPr>
            <w:t>选修</w:t>
          </w:r>
          <w:r>
            <w:rPr>
              <w:rFonts w:ascii="楷体" w:hAnsi="楷体" w:eastAsia="楷体"/>
              <w:bCs/>
              <w:kern w:val="0"/>
              <w:szCs w:val="26"/>
            </w:rPr>
            <w:t>课</w:t>
          </w:r>
          <w:r>
            <w:rPr>
              <w:rFonts w:hint="eastAsia" w:ascii="楷体" w:hAnsi="楷体" w:eastAsia="楷体"/>
              <w:bCs/>
              <w:kern w:val="0"/>
              <w:szCs w:val="26"/>
            </w:rPr>
            <w:t>程</w:t>
          </w:r>
          <w:r>
            <w:tab/>
          </w:r>
          <w:r>
            <w:fldChar w:fldCharType="begin"/>
          </w:r>
          <w:r>
            <w:instrText xml:space="preserve"> PAGEREF _Toc212995892 \h </w:instrText>
          </w:r>
          <w:r>
            <w:fldChar w:fldCharType="separate"/>
          </w:r>
          <w:r>
            <w:t>10</w:t>
          </w:r>
          <w:r>
            <w:fldChar w:fldCharType="end"/>
          </w:r>
          <w:r>
            <w:fldChar w:fldCharType="end"/>
          </w:r>
        </w:p>
        <w:p>
          <w:pPr>
            <w:pStyle w:val="18"/>
            <w:tabs>
              <w:tab w:val="right" w:leader="dot" w:pos="9070"/>
            </w:tabs>
          </w:pPr>
          <w:r>
            <w:fldChar w:fldCharType="begin"/>
          </w:r>
          <w:r>
            <w:instrText xml:space="preserve"> HYPERLINK \l _Toc237554231 </w:instrText>
          </w:r>
          <w:r>
            <w:fldChar w:fldCharType="separate"/>
          </w:r>
          <w:r>
            <w:rPr>
              <w:rFonts w:hint="eastAsia" w:ascii="楷体" w:hAnsi="楷体" w:eastAsia="楷体"/>
              <w:bCs/>
              <w:kern w:val="0"/>
              <w:szCs w:val="26"/>
            </w:rPr>
            <w:t>（六）</w:t>
          </w:r>
          <w:r>
            <w:rPr>
              <w:rFonts w:ascii="楷体" w:hAnsi="楷体" w:eastAsia="楷体"/>
              <w:bCs/>
              <w:kern w:val="0"/>
              <w:szCs w:val="26"/>
            </w:rPr>
            <w:t>课程结构</w:t>
          </w:r>
          <w:r>
            <w:tab/>
          </w:r>
          <w:r>
            <w:fldChar w:fldCharType="begin"/>
          </w:r>
          <w:r>
            <w:instrText xml:space="preserve"> PAGEREF _Toc237554231 \h </w:instrText>
          </w:r>
          <w:r>
            <w:fldChar w:fldCharType="separate"/>
          </w:r>
          <w:r>
            <w:t>10</w:t>
          </w:r>
          <w:r>
            <w:fldChar w:fldCharType="end"/>
          </w:r>
          <w:r>
            <w:fldChar w:fldCharType="end"/>
          </w:r>
        </w:p>
        <w:p>
          <w:pPr>
            <w:pStyle w:val="16"/>
            <w:tabs>
              <w:tab w:val="right" w:leader="dot" w:pos="9070"/>
            </w:tabs>
          </w:pPr>
          <w:r>
            <w:fldChar w:fldCharType="begin"/>
          </w:r>
          <w:r>
            <w:instrText xml:space="preserve"> HYPERLINK \l _Toc1620206012 </w:instrText>
          </w:r>
          <w:r>
            <w:fldChar w:fldCharType="separate"/>
          </w:r>
          <w:r>
            <w:rPr>
              <w:rFonts w:hint="eastAsia" w:ascii="黑体" w:hAnsi="黑体" w:eastAsia="黑体"/>
              <w:szCs w:val="26"/>
            </w:rPr>
            <w:t>八、教学进程总体安排</w:t>
          </w:r>
          <w:r>
            <w:tab/>
          </w:r>
          <w:r>
            <w:fldChar w:fldCharType="begin"/>
          </w:r>
          <w:r>
            <w:instrText xml:space="preserve"> PAGEREF _Toc1620206012 \h </w:instrText>
          </w:r>
          <w:r>
            <w:fldChar w:fldCharType="separate"/>
          </w:r>
          <w:r>
            <w:t>12</w:t>
          </w:r>
          <w:r>
            <w:fldChar w:fldCharType="end"/>
          </w:r>
          <w:r>
            <w:fldChar w:fldCharType="end"/>
          </w:r>
        </w:p>
        <w:p>
          <w:pPr>
            <w:pStyle w:val="18"/>
            <w:tabs>
              <w:tab w:val="right" w:leader="dot" w:pos="9070"/>
            </w:tabs>
          </w:pPr>
          <w:r>
            <w:fldChar w:fldCharType="begin"/>
          </w:r>
          <w:r>
            <w:instrText xml:space="preserve"> HYPERLINK \l _Toc1598305559 </w:instrText>
          </w:r>
          <w:r>
            <w:fldChar w:fldCharType="separate"/>
          </w:r>
          <w:r>
            <w:rPr>
              <w:rFonts w:hint="eastAsia" w:ascii="楷体" w:hAnsi="楷体" w:eastAsia="楷体"/>
              <w:bCs/>
              <w:kern w:val="0"/>
              <w:szCs w:val="26"/>
            </w:rPr>
            <w:t>（一）基本</w:t>
          </w:r>
          <w:r>
            <w:rPr>
              <w:rFonts w:ascii="楷体" w:hAnsi="楷体" w:eastAsia="楷体"/>
              <w:bCs/>
              <w:kern w:val="0"/>
              <w:szCs w:val="26"/>
            </w:rPr>
            <w:t>要求</w:t>
          </w:r>
          <w:r>
            <w:tab/>
          </w:r>
          <w:r>
            <w:fldChar w:fldCharType="begin"/>
          </w:r>
          <w:r>
            <w:instrText xml:space="preserve"> PAGEREF _Toc1598305559 \h </w:instrText>
          </w:r>
          <w:r>
            <w:fldChar w:fldCharType="separate"/>
          </w:r>
          <w:r>
            <w:t>12</w:t>
          </w:r>
          <w:r>
            <w:fldChar w:fldCharType="end"/>
          </w:r>
          <w:r>
            <w:fldChar w:fldCharType="end"/>
          </w:r>
        </w:p>
        <w:p>
          <w:pPr>
            <w:pStyle w:val="18"/>
            <w:tabs>
              <w:tab w:val="right" w:leader="dot" w:pos="9070"/>
            </w:tabs>
          </w:pPr>
          <w:r>
            <w:fldChar w:fldCharType="begin"/>
          </w:r>
          <w:r>
            <w:instrText xml:space="preserve"> HYPERLINK \l _Toc968019016 </w:instrText>
          </w:r>
          <w:r>
            <w:fldChar w:fldCharType="separate"/>
          </w:r>
          <w:r>
            <w:rPr>
              <w:rFonts w:hint="eastAsia" w:ascii="楷体" w:hAnsi="楷体" w:eastAsia="楷体"/>
              <w:bCs/>
              <w:kern w:val="0"/>
              <w:szCs w:val="26"/>
            </w:rPr>
            <w:t>（</w:t>
          </w:r>
          <w:r>
            <w:rPr>
              <w:rFonts w:ascii="楷体" w:hAnsi="楷体" w:eastAsia="楷体"/>
              <w:bCs/>
              <w:kern w:val="0"/>
              <w:szCs w:val="26"/>
            </w:rPr>
            <w:t>二）</w:t>
          </w:r>
          <w:r>
            <w:rPr>
              <w:rFonts w:hint="eastAsia" w:ascii="楷体" w:hAnsi="楷体" w:eastAsia="楷体"/>
              <w:bCs/>
              <w:kern w:val="0"/>
              <w:szCs w:val="26"/>
            </w:rPr>
            <w:t>教学时间安排表</w:t>
          </w:r>
          <w:r>
            <w:tab/>
          </w:r>
          <w:r>
            <w:fldChar w:fldCharType="begin"/>
          </w:r>
          <w:r>
            <w:instrText xml:space="preserve"> PAGEREF _Toc968019016 \h </w:instrText>
          </w:r>
          <w:r>
            <w:fldChar w:fldCharType="separate"/>
          </w:r>
          <w:r>
            <w:t>12</w:t>
          </w:r>
          <w:r>
            <w:fldChar w:fldCharType="end"/>
          </w:r>
          <w:r>
            <w:fldChar w:fldCharType="end"/>
          </w:r>
        </w:p>
        <w:p>
          <w:pPr>
            <w:pStyle w:val="16"/>
            <w:tabs>
              <w:tab w:val="right" w:leader="dot" w:pos="9070"/>
            </w:tabs>
          </w:pPr>
          <w:r>
            <w:fldChar w:fldCharType="begin"/>
          </w:r>
          <w:r>
            <w:instrText xml:space="preserve"> HYPERLINK \l _Toc298147073 </w:instrText>
          </w:r>
          <w:r>
            <w:fldChar w:fldCharType="separate"/>
          </w:r>
          <w:r>
            <w:rPr>
              <w:rFonts w:hint="eastAsia" w:ascii="黑体" w:hAnsi="黑体" w:eastAsia="黑体"/>
              <w:szCs w:val="26"/>
            </w:rPr>
            <w:t>九、实施保障</w:t>
          </w:r>
          <w:r>
            <w:tab/>
          </w:r>
          <w:r>
            <w:fldChar w:fldCharType="begin"/>
          </w:r>
          <w:r>
            <w:instrText xml:space="preserve"> PAGEREF _Toc298147073 \h </w:instrText>
          </w:r>
          <w:r>
            <w:fldChar w:fldCharType="separate"/>
          </w:r>
          <w:r>
            <w:t>14</w:t>
          </w:r>
          <w:r>
            <w:fldChar w:fldCharType="end"/>
          </w:r>
          <w:r>
            <w:fldChar w:fldCharType="end"/>
          </w:r>
        </w:p>
        <w:p>
          <w:pPr>
            <w:pStyle w:val="18"/>
            <w:tabs>
              <w:tab w:val="right" w:leader="dot" w:pos="9070"/>
            </w:tabs>
          </w:pPr>
          <w:r>
            <w:fldChar w:fldCharType="begin"/>
          </w:r>
          <w:r>
            <w:instrText xml:space="preserve"> HYPERLINK \l _Toc1976809983 </w:instrText>
          </w:r>
          <w:r>
            <w:fldChar w:fldCharType="separate"/>
          </w:r>
          <w:r>
            <w:rPr>
              <w:rFonts w:hint="eastAsia" w:ascii="楷体" w:hAnsi="楷体" w:eastAsia="楷体"/>
              <w:bCs/>
              <w:kern w:val="0"/>
              <w:szCs w:val="26"/>
            </w:rPr>
            <w:t>（一）师资队伍</w:t>
          </w:r>
          <w:r>
            <w:tab/>
          </w:r>
          <w:r>
            <w:fldChar w:fldCharType="begin"/>
          </w:r>
          <w:r>
            <w:instrText xml:space="preserve"> PAGEREF _Toc1976809983 \h </w:instrText>
          </w:r>
          <w:r>
            <w:fldChar w:fldCharType="separate"/>
          </w:r>
          <w:r>
            <w:t>14</w:t>
          </w:r>
          <w:r>
            <w:fldChar w:fldCharType="end"/>
          </w:r>
          <w:r>
            <w:fldChar w:fldCharType="end"/>
          </w:r>
        </w:p>
        <w:p>
          <w:pPr>
            <w:pStyle w:val="18"/>
            <w:tabs>
              <w:tab w:val="right" w:leader="dot" w:pos="9070"/>
            </w:tabs>
          </w:pPr>
          <w:r>
            <w:fldChar w:fldCharType="begin"/>
          </w:r>
          <w:r>
            <w:instrText xml:space="preserve"> HYPERLINK \l _Toc1829707308 </w:instrText>
          </w:r>
          <w:r>
            <w:fldChar w:fldCharType="separate"/>
          </w:r>
          <w:r>
            <w:rPr>
              <w:rFonts w:hint="eastAsia" w:ascii="楷体" w:hAnsi="楷体" w:eastAsia="楷体"/>
              <w:bCs/>
              <w:kern w:val="0"/>
              <w:szCs w:val="26"/>
            </w:rPr>
            <w:t>（二）教学设施</w:t>
          </w:r>
          <w:r>
            <w:tab/>
          </w:r>
          <w:r>
            <w:fldChar w:fldCharType="begin"/>
          </w:r>
          <w:r>
            <w:instrText xml:space="preserve"> PAGEREF _Toc1829707308 \h </w:instrText>
          </w:r>
          <w:r>
            <w:fldChar w:fldCharType="separate"/>
          </w:r>
          <w:r>
            <w:t>14</w:t>
          </w:r>
          <w:r>
            <w:fldChar w:fldCharType="end"/>
          </w:r>
          <w:r>
            <w:fldChar w:fldCharType="end"/>
          </w:r>
        </w:p>
        <w:p>
          <w:pPr>
            <w:pStyle w:val="18"/>
            <w:tabs>
              <w:tab w:val="right" w:leader="dot" w:pos="9070"/>
            </w:tabs>
          </w:pPr>
          <w:r>
            <w:fldChar w:fldCharType="begin"/>
          </w:r>
          <w:r>
            <w:instrText xml:space="preserve"> HYPERLINK \l _Toc932145863 </w:instrText>
          </w:r>
          <w:r>
            <w:fldChar w:fldCharType="separate"/>
          </w:r>
          <w:r>
            <w:rPr>
              <w:rFonts w:hint="eastAsia" w:ascii="楷体" w:hAnsi="楷体" w:eastAsia="楷体"/>
              <w:bCs/>
              <w:kern w:val="0"/>
              <w:szCs w:val="26"/>
            </w:rPr>
            <w:t>（三）教学资源</w:t>
          </w:r>
          <w:r>
            <w:tab/>
          </w:r>
          <w:r>
            <w:fldChar w:fldCharType="begin"/>
          </w:r>
          <w:r>
            <w:instrText xml:space="preserve"> PAGEREF _Toc932145863 \h </w:instrText>
          </w:r>
          <w:r>
            <w:fldChar w:fldCharType="separate"/>
          </w:r>
          <w:r>
            <w:t>16</w:t>
          </w:r>
          <w:r>
            <w:fldChar w:fldCharType="end"/>
          </w:r>
          <w:r>
            <w:fldChar w:fldCharType="end"/>
          </w:r>
        </w:p>
        <w:p>
          <w:pPr>
            <w:pStyle w:val="18"/>
            <w:tabs>
              <w:tab w:val="right" w:leader="dot" w:pos="9070"/>
            </w:tabs>
          </w:pPr>
          <w:r>
            <w:fldChar w:fldCharType="begin"/>
          </w:r>
          <w:r>
            <w:instrText xml:space="preserve"> HYPERLINK \l _Toc2113083932 </w:instrText>
          </w:r>
          <w:r>
            <w:fldChar w:fldCharType="separate"/>
          </w:r>
          <w:r>
            <w:rPr>
              <w:rFonts w:hint="eastAsia" w:ascii="楷体" w:hAnsi="楷体" w:eastAsia="楷体"/>
              <w:bCs/>
              <w:kern w:val="0"/>
              <w:szCs w:val="26"/>
            </w:rPr>
            <w:t>（四）教学模式</w:t>
          </w:r>
          <w:r>
            <w:rPr>
              <w:rFonts w:ascii="楷体" w:hAnsi="楷体" w:eastAsia="楷体"/>
              <w:bCs/>
              <w:kern w:val="0"/>
              <w:szCs w:val="26"/>
            </w:rPr>
            <w:t>与</w:t>
          </w:r>
          <w:r>
            <w:rPr>
              <w:rFonts w:hint="eastAsia" w:ascii="楷体" w:hAnsi="楷体" w:eastAsia="楷体"/>
              <w:bCs/>
              <w:kern w:val="0"/>
              <w:szCs w:val="26"/>
            </w:rPr>
            <w:t>方法</w:t>
          </w:r>
          <w:r>
            <w:tab/>
          </w:r>
          <w:r>
            <w:fldChar w:fldCharType="begin"/>
          </w:r>
          <w:r>
            <w:instrText xml:space="preserve"> PAGEREF _Toc2113083932 \h </w:instrText>
          </w:r>
          <w:r>
            <w:fldChar w:fldCharType="separate"/>
          </w:r>
          <w:r>
            <w:t>16</w:t>
          </w:r>
          <w:r>
            <w:fldChar w:fldCharType="end"/>
          </w:r>
          <w:r>
            <w:fldChar w:fldCharType="end"/>
          </w:r>
        </w:p>
        <w:p>
          <w:pPr>
            <w:pStyle w:val="18"/>
            <w:tabs>
              <w:tab w:val="right" w:leader="dot" w:pos="9070"/>
            </w:tabs>
          </w:pPr>
          <w:r>
            <w:fldChar w:fldCharType="begin"/>
          </w:r>
          <w:r>
            <w:instrText xml:space="preserve"> HYPERLINK \l _Toc2037839516 </w:instrText>
          </w:r>
          <w:r>
            <w:fldChar w:fldCharType="separate"/>
          </w:r>
          <w:r>
            <w:rPr>
              <w:rFonts w:hint="eastAsia" w:ascii="楷体" w:hAnsi="楷体" w:eastAsia="楷体"/>
              <w:bCs/>
              <w:kern w:val="0"/>
              <w:szCs w:val="26"/>
            </w:rPr>
            <w:t>（五）学习评价</w:t>
          </w:r>
          <w:r>
            <w:tab/>
          </w:r>
          <w:r>
            <w:fldChar w:fldCharType="begin"/>
          </w:r>
          <w:r>
            <w:instrText xml:space="preserve"> PAGEREF _Toc2037839516 \h </w:instrText>
          </w:r>
          <w:r>
            <w:fldChar w:fldCharType="separate"/>
          </w:r>
          <w:r>
            <w:t>17</w:t>
          </w:r>
          <w:r>
            <w:fldChar w:fldCharType="end"/>
          </w:r>
          <w:r>
            <w:fldChar w:fldCharType="end"/>
          </w:r>
        </w:p>
        <w:p>
          <w:pPr>
            <w:pStyle w:val="18"/>
            <w:tabs>
              <w:tab w:val="right" w:leader="dot" w:pos="9070"/>
            </w:tabs>
          </w:pPr>
          <w:r>
            <w:fldChar w:fldCharType="begin"/>
          </w:r>
          <w:r>
            <w:instrText xml:space="preserve"> HYPERLINK \l _Toc1089594859 </w:instrText>
          </w:r>
          <w:r>
            <w:fldChar w:fldCharType="separate"/>
          </w:r>
          <w:r>
            <w:rPr>
              <w:rFonts w:hint="eastAsia" w:ascii="楷体" w:hAnsi="楷体" w:eastAsia="楷体"/>
              <w:bCs/>
              <w:kern w:val="0"/>
              <w:szCs w:val="26"/>
            </w:rPr>
            <w:t>（六）质量管理</w:t>
          </w:r>
          <w:r>
            <w:tab/>
          </w:r>
          <w:r>
            <w:fldChar w:fldCharType="begin"/>
          </w:r>
          <w:r>
            <w:instrText xml:space="preserve"> PAGEREF _Toc1089594859 \h </w:instrText>
          </w:r>
          <w:r>
            <w:fldChar w:fldCharType="separate"/>
          </w:r>
          <w:r>
            <w:t>18</w:t>
          </w:r>
          <w:r>
            <w:fldChar w:fldCharType="end"/>
          </w:r>
          <w:r>
            <w:fldChar w:fldCharType="end"/>
          </w:r>
        </w:p>
        <w:p>
          <w:pPr>
            <w:pStyle w:val="16"/>
            <w:tabs>
              <w:tab w:val="right" w:leader="dot" w:pos="9070"/>
            </w:tabs>
          </w:pPr>
          <w:r>
            <w:fldChar w:fldCharType="begin"/>
          </w:r>
          <w:r>
            <w:instrText xml:space="preserve"> HYPERLINK \l _Toc2080631659 </w:instrText>
          </w:r>
          <w:r>
            <w:fldChar w:fldCharType="separate"/>
          </w:r>
          <w:r>
            <w:rPr>
              <w:rFonts w:hint="eastAsia" w:ascii="黑体" w:hAnsi="黑体" w:eastAsia="黑体"/>
              <w:szCs w:val="26"/>
            </w:rPr>
            <w:t>十、毕业要求</w:t>
          </w:r>
          <w:r>
            <w:tab/>
          </w:r>
          <w:r>
            <w:fldChar w:fldCharType="begin"/>
          </w:r>
          <w:r>
            <w:instrText xml:space="preserve"> PAGEREF _Toc2080631659 \h </w:instrText>
          </w:r>
          <w:r>
            <w:fldChar w:fldCharType="separate"/>
          </w:r>
          <w:r>
            <w:t>18</w:t>
          </w:r>
          <w:r>
            <w:fldChar w:fldCharType="end"/>
          </w:r>
          <w:r>
            <w:fldChar w:fldCharType="end"/>
          </w:r>
        </w:p>
        <w:p>
          <w:pPr>
            <w:snapToGrid/>
            <w:spacing w:line="240" w:lineRule="auto"/>
            <w:ind w:firstLine="0" w:firstLineChars="0"/>
            <w:jc w:val="left"/>
          </w:pPr>
          <w:r>
            <w:fldChar w:fldCharType="end"/>
          </w:r>
        </w:p>
      </w:sdtContent>
    </w:sdt>
    <w:p>
      <w:pPr>
        <w:snapToGrid/>
        <w:spacing w:line="240" w:lineRule="auto"/>
        <w:ind w:firstLine="0" w:firstLineChars="0"/>
        <w:jc w:val="left"/>
        <w:rPr>
          <w:rFonts w:hint="eastAsia" w:ascii="楷体" w:hAnsi="楷体" w:eastAsia="楷体" w:cs="仿宋"/>
          <w:bCs/>
          <w:sz w:val="26"/>
          <w:szCs w:val="26"/>
        </w:rPr>
      </w:pPr>
      <w:r>
        <w:rPr>
          <w:rFonts w:hint="eastAsia" w:ascii="楷体" w:hAnsi="楷体" w:eastAsia="楷体" w:cs="仿宋"/>
          <w:bCs/>
          <w:sz w:val="26"/>
          <w:szCs w:val="26"/>
        </w:rPr>
        <w:br w:type="page"/>
      </w:r>
    </w:p>
    <w:p>
      <w:pPr>
        <w:pStyle w:val="19"/>
        <w:adjustRightInd w:val="0"/>
        <w:snapToGrid w:val="0"/>
        <w:spacing w:before="0" w:beforeAutospacing="0" w:after="0" w:afterAutospacing="0"/>
        <w:jc w:val="center"/>
        <w:outlineLvl w:val="0"/>
        <w:rPr>
          <w:rFonts w:ascii="方正小标宋简体" w:hAnsi="方正小标宋简体" w:eastAsia="方正小标宋简体"/>
          <w:sz w:val="32"/>
          <w:szCs w:val="32"/>
        </w:rPr>
      </w:pPr>
      <w:bookmarkStart w:id="0" w:name="_Toc1782876104"/>
      <w:bookmarkStart w:id="1" w:name="_Toc1304929792"/>
      <w:bookmarkStart w:id="2" w:name="_Toc616048246"/>
      <w:bookmarkStart w:id="3" w:name="_Toc2035624536"/>
      <w:bookmarkStart w:id="4" w:name="_Toc1934345461"/>
      <w:bookmarkStart w:id="5" w:name="_Hlk24130323"/>
      <w:r>
        <w:rPr>
          <w:rFonts w:hint="eastAsia" w:ascii="方正小标宋简体" w:hAnsi="方正小标宋简体" w:eastAsia="方正小标宋简体"/>
          <w:sz w:val="32"/>
          <w:szCs w:val="32"/>
        </w:rPr>
        <w:t>汽车运用与维修</w:t>
      </w:r>
      <w:r>
        <w:rPr>
          <w:rFonts w:ascii="方正小标宋简体" w:hAnsi="方正小标宋简体" w:eastAsia="方正小标宋简体"/>
          <w:sz w:val="32"/>
          <w:szCs w:val="32"/>
        </w:rPr>
        <w:t>专业</w:t>
      </w:r>
      <w:r>
        <w:rPr>
          <w:rFonts w:hint="eastAsia" w:ascii="方正小标宋简体" w:hAnsi="方正小标宋简体" w:eastAsia="方正小标宋简体"/>
          <w:sz w:val="32"/>
          <w:szCs w:val="32"/>
        </w:rPr>
        <w:t>人才培养方案</w:t>
      </w:r>
      <w:bookmarkEnd w:id="0"/>
      <w:bookmarkEnd w:id="1"/>
      <w:bookmarkEnd w:id="2"/>
      <w:bookmarkEnd w:id="3"/>
      <w:bookmarkEnd w:id="4"/>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6" w:name="_Toc263541168"/>
      <w:bookmarkStart w:id="7" w:name="_Toc230561194"/>
      <w:bookmarkStart w:id="8" w:name="_Toc143228311"/>
      <w:bookmarkStart w:id="9" w:name="_Toc396424761"/>
      <w:bookmarkStart w:id="10" w:name="_Toc131184608"/>
      <w:r>
        <w:rPr>
          <w:rFonts w:hint="eastAsia" w:ascii="黑体" w:hAnsi="黑体" w:eastAsia="黑体"/>
          <w:sz w:val="26"/>
          <w:szCs w:val="26"/>
        </w:rPr>
        <w:t>一、专业名称及代码</w:t>
      </w:r>
      <w:bookmarkEnd w:id="6"/>
      <w:bookmarkEnd w:id="7"/>
      <w:bookmarkEnd w:id="8"/>
      <w:bookmarkEnd w:id="9"/>
      <w:bookmarkEnd w:id="10"/>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kern w:val="0"/>
          <w:sz w:val="26"/>
          <w:szCs w:val="26"/>
        </w:rPr>
        <w:t>汽车运用与维修 700206</w:t>
      </w: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11" w:name="_Toc1594484074"/>
      <w:bookmarkStart w:id="12" w:name="_Toc1758989351"/>
      <w:bookmarkStart w:id="13" w:name="_Toc901433410"/>
      <w:bookmarkStart w:id="14" w:name="_Toc1260567838"/>
      <w:bookmarkStart w:id="15" w:name="_Toc251200972"/>
      <w:r>
        <w:rPr>
          <w:rFonts w:hint="eastAsia" w:ascii="黑体" w:hAnsi="黑体" w:eastAsia="黑体"/>
          <w:sz w:val="26"/>
          <w:szCs w:val="26"/>
        </w:rPr>
        <w:t>二、入学要求</w:t>
      </w:r>
      <w:bookmarkEnd w:id="11"/>
      <w:bookmarkEnd w:id="12"/>
      <w:bookmarkEnd w:id="13"/>
      <w:bookmarkEnd w:id="14"/>
      <w:bookmarkEnd w:id="15"/>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初中毕业生或具有同等及以上</w:t>
      </w:r>
      <w:r>
        <w:rPr>
          <w:rFonts w:hint="eastAsia" w:ascii="仿宋" w:hAnsi="仿宋" w:eastAsia="仿宋"/>
          <w:sz w:val="26"/>
          <w:szCs w:val="26"/>
          <w:lang w:eastAsia="zh-CN"/>
        </w:rPr>
        <w:t>学历者</w:t>
      </w: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16" w:name="_Toc1814752908"/>
      <w:bookmarkStart w:id="17" w:name="_Toc1496182894"/>
      <w:bookmarkStart w:id="18" w:name="_Toc911838907"/>
      <w:bookmarkStart w:id="19" w:name="_Toc1914060712"/>
      <w:bookmarkStart w:id="20" w:name="_Toc1456413132"/>
      <w:r>
        <w:rPr>
          <w:rFonts w:hint="eastAsia" w:ascii="黑体" w:hAnsi="黑体" w:eastAsia="黑体"/>
          <w:sz w:val="26"/>
          <w:szCs w:val="26"/>
        </w:rPr>
        <w:t>三、修业年限</w:t>
      </w:r>
      <w:bookmarkEnd w:id="16"/>
      <w:bookmarkEnd w:id="17"/>
      <w:bookmarkEnd w:id="18"/>
      <w:bookmarkEnd w:id="19"/>
      <w:bookmarkEnd w:id="20"/>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三年</w:t>
      </w: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21" w:name="_Toc765962111"/>
      <w:bookmarkStart w:id="22" w:name="_Toc990949247"/>
      <w:bookmarkStart w:id="23" w:name="_Toc1131994605"/>
      <w:bookmarkStart w:id="24" w:name="_Toc903812212"/>
      <w:bookmarkStart w:id="25" w:name="_Toc1460163857"/>
      <w:r>
        <w:rPr>
          <w:rFonts w:hint="eastAsia" w:ascii="黑体" w:hAnsi="黑体" w:eastAsia="黑体"/>
          <w:sz w:val="26"/>
          <w:szCs w:val="26"/>
        </w:rPr>
        <w:t>四、职业面向</w:t>
      </w:r>
      <w:bookmarkEnd w:id="21"/>
      <w:bookmarkEnd w:id="22"/>
      <w:bookmarkEnd w:id="23"/>
      <w:bookmarkEnd w:id="24"/>
      <w:bookmarkEnd w:id="25"/>
    </w:p>
    <w:tbl>
      <w:tblPr>
        <w:tblStyle w:val="21"/>
        <w:tblW w:w="0" w:type="auto"/>
        <w:jc w:val="center"/>
        <w:tblLayout w:type="fixed"/>
        <w:tblCellMar>
          <w:top w:w="0" w:type="dxa"/>
          <w:left w:w="108" w:type="dxa"/>
          <w:bottom w:w="0" w:type="dxa"/>
          <w:right w:w="108" w:type="dxa"/>
        </w:tblCellMar>
      </w:tblPr>
      <w:tblGrid>
        <w:gridCol w:w="1394"/>
        <w:gridCol w:w="1077"/>
        <w:gridCol w:w="1363"/>
        <w:gridCol w:w="1796"/>
        <w:gridCol w:w="3332"/>
      </w:tblGrid>
      <w:tr>
        <w:tblPrEx>
          <w:tblCellMar>
            <w:top w:w="0" w:type="dxa"/>
            <w:left w:w="108" w:type="dxa"/>
            <w:bottom w:w="0" w:type="dxa"/>
            <w:right w:w="108" w:type="dxa"/>
          </w:tblCellMar>
        </w:tblPrEx>
        <w:trPr>
          <w:trHeight w:val="810" w:hRule="exact"/>
          <w:jc w:val="center"/>
        </w:trPr>
        <w:tc>
          <w:tcPr>
            <w:tcW w:w="1394"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64"/>
              <w:ind w:left="1"/>
              <w:jc w:val="center"/>
              <w:rPr>
                <w:rFonts w:ascii="楷体" w:hAnsi="楷体" w:eastAsia="楷体"/>
                <w:kern w:val="0"/>
              </w:rPr>
            </w:pPr>
            <w:r>
              <w:rPr>
                <w:rFonts w:hint="eastAsia" w:ascii="楷体" w:hAnsi="楷体" w:eastAsia="楷体"/>
                <w:b/>
                <w:kern w:val="0"/>
              </w:rPr>
              <w:t>所属专业大</w:t>
            </w:r>
          </w:p>
          <w:p>
            <w:pPr>
              <w:kinsoku w:val="0"/>
              <w:overflowPunct w:val="0"/>
              <w:autoSpaceDE w:val="0"/>
              <w:autoSpaceDN w:val="0"/>
              <w:adjustRightInd w:val="0"/>
              <w:spacing w:before="126"/>
              <w:ind w:left="3"/>
              <w:jc w:val="center"/>
              <w:rPr>
                <w:kern w:val="0"/>
                <w:sz w:val="24"/>
              </w:rPr>
            </w:pPr>
            <w:r>
              <w:rPr>
                <w:rFonts w:hint="eastAsia" w:ascii="楷体" w:hAnsi="楷体" w:eastAsia="楷体"/>
                <w:b/>
                <w:kern w:val="0"/>
              </w:rPr>
              <w:t>类及代码</w:t>
            </w:r>
          </w:p>
        </w:tc>
        <w:tc>
          <w:tcPr>
            <w:tcW w:w="1077"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64"/>
              <w:jc w:val="center"/>
              <w:rPr>
                <w:kern w:val="0"/>
                <w:sz w:val="24"/>
              </w:rPr>
            </w:pPr>
            <w:r>
              <w:rPr>
                <w:rFonts w:hint="eastAsia" w:ascii="楷体" w:hAnsi="楷体" w:eastAsia="楷体"/>
                <w:b/>
                <w:kern w:val="0"/>
              </w:rPr>
              <w:t>对应行业</w:t>
            </w:r>
          </w:p>
        </w:tc>
        <w:tc>
          <w:tcPr>
            <w:tcW w:w="1363"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jc w:val="center"/>
              <w:rPr>
                <w:kern w:val="0"/>
                <w:sz w:val="24"/>
              </w:rPr>
            </w:pPr>
            <w:r>
              <w:rPr>
                <w:rFonts w:hint="eastAsia" w:ascii="楷体" w:hAnsi="楷体" w:eastAsia="楷体"/>
                <w:b/>
                <w:kern w:val="0"/>
              </w:rPr>
              <w:t>主要职业类别</w:t>
            </w:r>
          </w:p>
        </w:tc>
        <w:tc>
          <w:tcPr>
            <w:tcW w:w="1796"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8"/>
              <w:ind w:left="1"/>
              <w:jc w:val="center"/>
              <w:rPr>
                <w:rFonts w:ascii="楷体" w:hAnsi="楷体" w:eastAsia="楷体"/>
                <w:kern w:val="0"/>
              </w:rPr>
            </w:pPr>
            <w:r>
              <w:rPr>
                <w:rFonts w:hint="eastAsia" w:ascii="楷体" w:hAnsi="楷体" w:eastAsia="楷体"/>
                <w:b/>
                <w:kern w:val="0"/>
              </w:rPr>
              <w:t>主要岗位类别</w:t>
            </w:r>
          </w:p>
          <w:p>
            <w:pPr>
              <w:kinsoku w:val="0"/>
              <w:overflowPunct w:val="0"/>
              <w:autoSpaceDE w:val="0"/>
              <w:autoSpaceDN w:val="0"/>
              <w:adjustRightInd w:val="0"/>
              <w:spacing w:before="106"/>
              <w:ind w:left="1"/>
              <w:jc w:val="center"/>
              <w:rPr>
                <w:kern w:val="0"/>
                <w:sz w:val="24"/>
              </w:rPr>
            </w:pPr>
            <w:r>
              <w:rPr>
                <w:rFonts w:hint="eastAsia" w:ascii="楷体" w:hAnsi="楷体" w:eastAsia="楷体"/>
                <w:b/>
                <w:kern w:val="0"/>
              </w:rPr>
              <w:t>（或技术领域）</w:t>
            </w:r>
          </w:p>
        </w:tc>
        <w:tc>
          <w:tcPr>
            <w:tcW w:w="3332"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64"/>
              <w:ind w:left="10"/>
              <w:jc w:val="center"/>
              <w:rPr>
                <w:rFonts w:ascii="楷体" w:hAnsi="楷体" w:eastAsia="楷体"/>
                <w:kern w:val="0"/>
              </w:rPr>
            </w:pPr>
            <w:r>
              <w:rPr>
                <w:rFonts w:hint="eastAsia" w:ascii="楷体" w:hAnsi="楷体" w:eastAsia="楷体"/>
                <w:b/>
                <w:kern w:val="0"/>
              </w:rPr>
              <w:t>对应职业技能证书、社会认可度高</w:t>
            </w:r>
          </w:p>
          <w:p>
            <w:pPr>
              <w:kinsoku w:val="0"/>
              <w:overflowPunct w:val="0"/>
              <w:autoSpaceDE w:val="0"/>
              <w:autoSpaceDN w:val="0"/>
              <w:adjustRightInd w:val="0"/>
              <w:spacing w:before="126"/>
              <w:ind w:left="5"/>
              <w:jc w:val="center"/>
              <w:rPr>
                <w:kern w:val="0"/>
                <w:sz w:val="24"/>
              </w:rPr>
            </w:pPr>
            <w:r>
              <w:rPr>
                <w:rFonts w:hint="eastAsia" w:ascii="楷体" w:hAnsi="楷体" w:eastAsia="楷体"/>
                <w:b/>
                <w:kern w:val="0"/>
              </w:rPr>
              <w:t>的行业企业标准和证书举例</w:t>
            </w:r>
          </w:p>
        </w:tc>
      </w:tr>
      <w:tr>
        <w:tblPrEx>
          <w:tblCellMar>
            <w:top w:w="0" w:type="dxa"/>
            <w:left w:w="108" w:type="dxa"/>
            <w:bottom w:w="0" w:type="dxa"/>
            <w:right w:w="108" w:type="dxa"/>
          </w:tblCellMar>
        </w:tblPrEx>
        <w:trPr>
          <w:trHeight w:val="1102" w:hRule="exact"/>
          <w:jc w:val="center"/>
        </w:trPr>
        <w:tc>
          <w:tcPr>
            <w:tcW w:w="139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70" w:line="350" w:lineRule="auto"/>
              <w:ind w:left="0" w:leftChars="0" w:right="-82" w:rightChars="0" w:firstLine="0" w:firstLineChars="0"/>
              <w:jc w:val="left"/>
              <w:rPr>
                <w:kern w:val="0"/>
                <w:sz w:val="24"/>
              </w:rPr>
            </w:pPr>
            <w:r>
              <w:rPr>
                <w:rFonts w:hint="eastAsia" w:ascii="楷体" w:hAnsi="楷体" w:eastAsia="楷体"/>
                <w:kern w:val="0"/>
              </w:rPr>
              <w:t>70交通运输类</w:t>
            </w:r>
          </w:p>
        </w:tc>
        <w:tc>
          <w:tcPr>
            <w:tcW w:w="107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right="0"/>
              <w:jc w:val="center"/>
              <w:textAlignment w:val="auto"/>
              <w:rPr>
                <w:kern w:val="0"/>
                <w:sz w:val="24"/>
              </w:rPr>
            </w:pPr>
            <w:r>
              <w:rPr>
                <w:rFonts w:hint="eastAsia" w:ascii="楷体" w:hAnsi="楷体" w:eastAsia="楷体"/>
                <w:kern w:val="0"/>
              </w:rPr>
              <w:t>54</w:t>
            </w:r>
            <w:r>
              <w:rPr>
                <w:rFonts w:hint="eastAsia" w:ascii="楷体" w:hAnsi="楷体" w:eastAsia="楷体"/>
                <w:spacing w:val="-55"/>
                <w:kern w:val="0"/>
              </w:rPr>
              <w:t xml:space="preserve"> </w:t>
            </w:r>
            <w:r>
              <w:rPr>
                <w:rFonts w:hint="eastAsia" w:ascii="楷体" w:hAnsi="楷体" w:eastAsia="楷体"/>
                <w:kern w:val="0"/>
              </w:rPr>
              <w:t>道路运</w:t>
            </w:r>
            <w:r>
              <w:rPr>
                <w:rFonts w:hint="eastAsia" w:ascii="楷体" w:hAnsi="楷体" w:eastAsia="楷体"/>
                <w:w w:val="99"/>
                <w:kern w:val="0"/>
              </w:rPr>
              <w:t xml:space="preserve"> </w:t>
            </w:r>
            <w:r>
              <w:rPr>
                <w:rFonts w:hint="eastAsia" w:ascii="楷体" w:hAnsi="楷体" w:eastAsia="楷体"/>
                <w:kern w:val="0"/>
              </w:rPr>
              <w:t>输业</w:t>
            </w:r>
          </w:p>
        </w:tc>
        <w:tc>
          <w:tcPr>
            <w:tcW w:w="136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val="0"/>
              <w:wordWrap/>
              <w:overflowPunct w:val="0"/>
              <w:topLinePunct w:val="0"/>
              <w:autoSpaceDE w:val="0"/>
              <w:autoSpaceDN w:val="0"/>
              <w:bidi w:val="0"/>
              <w:adjustRightInd w:val="0"/>
              <w:snapToGrid/>
              <w:jc w:val="left"/>
              <w:textAlignment w:val="auto"/>
              <w:rPr>
                <w:rFonts w:ascii="楷体" w:hAnsi="楷体" w:eastAsia="楷体"/>
                <w:kern w:val="0"/>
              </w:rPr>
            </w:pPr>
            <w:r>
              <w:rPr>
                <w:rFonts w:hint="eastAsia" w:ascii="楷体" w:hAnsi="楷体" w:eastAsia="楷体"/>
                <w:kern w:val="0"/>
              </w:rPr>
              <w:t>4-12-01-01汽车维修工</w:t>
            </w:r>
          </w:p>
          <w:p>
            <w:pPr>
              <w:keepNext w:val="0"/>
              <w:keepLines w:val="0"/>
              <w:pageBreakBefore w:val="0"/>
              <w:widowControl w:val="0"/>
              <w:kinsoku w:val="0"/>
              <w:wordWrap/>
              <w:overflowPunct w:val="0"/>
              <w:topLinePunct w:val="0"/>
              <w:autoSpaceDE w:val="0"/>
              <w:autoSpaceDN w:val="0"/>
              <w:bidi w:val="0"/>
              <w:adjustRightInd w:val="0"/>
              <w:snapToGrid/>
              <w:jc w:val="left"/>
              <w:textAlignment w:val="auto"/>
              <w:rPr>
                <w:rFonts w:ascii="楷体" w:hAnsi="楷体" w:eastAsia="楷体"/>
                <w:kern w:val="0"/>
              </w:rPr>
            </w:pPr>
            <w:r>
              <w:rPr>
                <w:rFonts w:hint="eastAsia" w:ascii="楷体" w:hAnsi="楷体" w:eastAsia="楷体"/>
                <w:kern w:val="0"/>
              </w:rPr>
              <w:t>6-18-03-03喷涂工</w:t>
            </w:r>
          </w:p>
          <w:p>
            <w:pPr>
              <w:keepNext w:val="0"/>
              <w:keepLines w:val="0"/>
              <w:pageBreakBefore w:val="0"/>
              <w:widowControl w:val="0"/>
              <w:kinsoku w:val="0"/>
              <w:wordWrap/>
              <w:overflowPunct w:val="0"/>
              <w:topLinePunct w:val="0"/>
              <w:autoSpaceDE w:val="0"/>
              <w:autoSpaceDN w:val="0"/>
              <w:bidi w:val="0"/>
              <w:adjustRightInd w:val="0"/>
              <w:snapToGrid/>
              <w:jc w:val="left"/>
              <w:textAlignment w:val="auto"/>
              <w:rPr>
                <w:rFonts w:ascii="楷体" w:hAnsi="楷体" w:eastAsia="楷体"/>
                <w:kern w:val="0"/>
              </w:rPr>
            </w:pPr>
            <w:r>
              <w:rPr>
                <w:rFonts w:hint="eastAsia" w:ascii="楷体" w:hAnsi="楷体" w:eastAsia="楷体"/>
                <w:kern w:val="0"/>
              </w:rPr>
              <w:t>6-22-01-01</w:t>
            </w:r>
            <w:r>
              <w:rPr>
                <w:rFonts w:hint="eastAsia" w:ascii="楷体" w:hAnsi="楷体" w:eastAsia="楷体"/>
                <w:spacing w:val="-57"/>
                <w:kern w:val="0"/>
              </w:rPr>
              <w:t xml:space="preserve"> </w:t>
            </w:r>
            <w:r>
              <w:rPr>
                <w:rFonts w:hint="eastAsia" w:ascii="楷体" w:hAnsi="楷体" w:eastAsia="楷体"/>
                <w:kern w:val="0"/>
              </w:rPr>
              <w:t>汽车生产线操作工</w:t>
            </w:r>
            <w:r>
              <w:rPr>
                <w:rFonts w:hint="eastAsia" w:ascii="楷体" w:hAnsi="楷体" w:eastAsia="楷体"/>
                <w:kern w:val="0"/>
                <w:lang w:eastAsia="zh-CN"/>
              </w:rPr>
              <w:t>；</w:t>
            </w:r>
          </w:p>
          <w:p>
            <w:pPr>
              <w:keepNext w:val="0"/>
              <w:keepLines w:val="0"/>
              <w:pageBreakBefore w:val="0"/>
              <w:widowControl w:val="0"/>
              <w:kinsoku w:val="0"/>
              <w:wordWrap/>
              <w:overflowPunct w:val="0"/>
              <w:topLinePunct w:val="0"/>
              <w:autoSpaceDE w:val="0"/>
              <w:autoSpaceDN w:val="0"/>
              <w:bidi w:val="0"/>
              <w:adjustRightInd w:val="0"/>
              <w:snapToGrid/>
              <w:jc w:val="left"/>
              <w:textAlignment w:val="auto"/>
              <w:rPr>
                <w:rFonts w:hint="eastAsia" w:eastAsia="楷体"/>
                <w:kern w:val="0"/>
                <w:sz w:val="24"/>
                <w:lang w:eastAsia="zh-CN"/>
              </w:rPr>
            </w:pPr>
            <w:r>
              <w:rPr>
                <w:rFonts w:hint="eastAsia" w:ascii="楷体" w:hAnsi="楷体" w:eastAsia="楷体"/>
                <w:kern w:val="0"/>
              </w:rPr>
              <w:t>6-22-02-02汽车回收拆解工</w:t>
            </w:r>
            <w:r>
              <w:rPr>
                <w:rFonts w:hint="eastAsia" w:ascii="楷体" w:hAnsi="楷体" w:eastAsia="楷体"/>
                <w:kern w:val="0"/>
                <w:lang w:eastAsia="zh-CN"/>
              </w:rPr>
              <w:t>。</w:t>
            </w:r>
          </w:p>
        </w:tc>
        <w:tc>
          <w:tcPr>
            <w:tcW w:w="1796"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01"/>
              <w:ind w:left="102"/>
              <w:jc w:val="left"/>
              <w:rPr>
                <w:kern w:val="0"/>
                <w:sz w:val="24"/>
              </w:rPr>
            </w:pPr>
            <w:r>
              <w:rPr>
                <w:rFonts w:hint="eastAsia" w:ascii="楷体" w:hAnsi="楷体" w:eastAsia="楷体"/>
                <w:kern w:val="0"/>
              </w:rPr>
              <w:t>汽车维修工</w:t>
            </w:r>
          </w:p>
        </w:tc>
        <w:tc>
          <w:tcPr>
            <w:tcW w:w="3332" w:type="dxa"/>
            <w:vMerge w:val="restart"/>
            <w:tcBorders>
              <w:top w:val="single" w:color="000000" w:sz="4" w:space="0"/>
              <w:left w:val="single" w:color="000000" w:sz="4" w:space="0"/>
              <w:right w:val="single" w:color="000000" w:sz="4" w:space="0"/>
              <w:tl2br w:val="nil"/>
              <w:tr2bl w:val="nil"/>
            </w:tcBorders>
            <w:vAlign w:val="center"/>
          </w:tcPr>
          <w:p>
            <w:pPr>
              <w:kinsoku w:val="0"/>
              <w:overflowPunct w:val="0"/>
              <w:autoSpaceDE w:val="0"/>
              <w:autoSpaceDN w:val="0"/>
              <w:adjustRightInd w:val="0"/>
              <w:spacing w:before="146"/>
              <w:ind w:left="102"/>
              <w:jc w:val="left"/>
              <w:rPr>
                <w:rFonts w:ascii="楷体" w:hAnsi="楷体" w:eastAsia="楷体"/>
                <w:kern w:val="0"/>
              </w:rPr>
            </w:pPr>
            <w:r>
              <w:rPr>
                <w:rFonts w:hint="eastAsia" w:ascii="楷体" w:hAnsi="楷体" w:eastAsia="楷体"/>
                <w:kern w:val="0"/>
              </w:rPr>
              <w:t>机动车检测维修专业技术人员职业资格；</w:t>
            </w:r>
          </w:p>
          <w:p>
            <w:pPr>
              <w:kinsoku w:val="0"/>
              <w:overflowPunct w:val="0"/>
              <w:autoSpaceDE w:val="0"/>
              <w:autoSpaceDN w:val="0"/>
              <w:adjustRightInd w:val="0"/>
              <w:spacing w:before="147"/>
              <w:ind w:left="102"/>
              <w:jc w:val="left"/>
              <w:rPr>
                <w:rFonts w:ascii="楷体" w:hAnsi="楷体" w:eastAsia="楷体"/>
                <w:kern w:val="0"/>
              </w:rPr>
            </w:pPr>
            <w:r>
              <w:rPr>
                <w:rFonts w:hint="eastAsia" w:ascii="楷体" w:hAnsi="楷体" w:eastAsia="楷体"/>
                <w:kern w:val="0"/>
              </w:rPr>
              <w:t>汽车运用与维修职业技能等级证书；</w:t>
            </w:r>
          </w:p>
          <w:p>
            <w:pPr>
              <w:kinsoku w:val="0"/>
              <w:overflowPunct w:val="0"/>
              <w:autoSpaceDE w:val="0"/>
              <w:autoSpaceDN w:val="0"/>
              <w:adjustRightInd w:val="0"/>
              <w:spacing w:before="147"/>
              <w:ind w:left="102"/>
              <w:jc w:val="left"/>
              <w:rPr>
                <w:rFonts w:ascii="楷体" w:hAnsi="楷体" w:eastAsia="楷体"/>
                <w:kern w:val="0"/>
              </w:rPr>
            </w:pPr>
            <w:r>
              <w:rPr>
                <w:rFonts w:hint="eastAsia" w:ascii="楷体" w:hAnsi="楷体" w:eastAsia="楷体"/>
                <w:kern w:val="0"/>
              </w:rPr>
              <w:t>智能新能源汽车职业技能等级证书。</w:t>
            </w:r>
          </w:p>
        </w:tc>
      </w:tr>
      <w:tr>
        <w:tblPrEx>
          <w:tblCellMar>
            <w:top w:w="0" w:type="dxa"/>
            <w:left w:w="108" w:type="dxa"/>
            <w:bottom w:w="0" w:type="dxa"/>
            <w:right w:w="108" w:type="dxa"/>
          </w:tblCellMar>
        </w:tblPrEx>
        <w:trPr>
          <w:trHeight w:val="892" w:hRule="exact"/>
          <w:jc w:val="center"/>
        </w:trPr>
        <w:tc>
          <w:tcPr>
            <w:tcW w:w="139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6"/>
              <w:ind w:left="102"/>
              <w:jc w:val="left"/>
              <w:rPr>
                <w:kern w:val="0"/>
                <w:sz w:val="24"/>
              </w:rPr>
            </w:pPr>
          </w:p>
        </w:tc>
        <w:tc>
          <w:tcPr>
            <w:tcW w:w="10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6"/>
              <w:ind w:left="102"/>
              <w:jc w:val="left"/>
              <w:rPr>
                <w:kern w:val="0"/>
                <w:sz w:val="24"/>
              </w:rPr>
            </w:pPr>
          </w:p>
        </w:tc>
        <w:tc>
          <w:tcPr>
            <w:tcW w:w="136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6"/>
              <w:ind w:left="102"/>
              <w:jc w:val="left"/>
              <w:rPr>
                <w:kern w:val="0"/>
                <w:sz w:val="24"/>
              </w:rPr>
            </w:pPr>
          </w:p>
        </w:tc>
        <w:tc>
          <w:tcPr>
            <w:tcW w:w="1796"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02"/>
              <w:ind w:left="102"/>
              <w:jc w:val="left"/>
              <w:rPr>
                <w:rFonts w:eastAsia="楷体"/>
                <w:kern w:val="0"/>
                <w:sz w:val="24"/>
              </w:rPr>
            </w:pPr>
            <w:r>
              <w:rPr>
                <w:rFonts w:hint="eastAsia" w:ascii="楷体" w:hAnsi="楷体" w:eastAsia="楷体"/>
                <w:kern w:val="0"/>
              </w:rPr>
              <w:t>汽车车身修复工</w:t>
            </w:r>
          </w:p>
        </w:tc>
        <w:tc>
          <w:tcPr>
            <w:tcW w:w="3332" w:type="dxa"/>
            <w:vMerge w:val="continue"/>
            <w:tcBorders>
              <w:left w:val="single" w:color="000000" w:sz="4" w:space="0"/>
              <w:right w:val="single" w:color="000000" w:sz="4" w:space="0"/>
              <w:tl2br w:val="nil"/>
              <w:tr2bl w:val="nil"/>
            </w:tcBorders>
            <w:vAlign w:val="center"/>
          </w:tcPr>
          <w:p>
            <w:pPr>
              <w:kinsoku w:val="0"/>
              <w:overflowPunct w:val="0"/>
              <w:autoSpaceDE w:val="0"/>
              <w:autoSpaceDN w:val="0"/>
              <w:adjustRightInd w:val="0"/>
              <w:spacing w:before="145"/>
              <w:ind w:left="102"/>
              <w:jc w:val="left"/>
              <w:rPr>
                <w:kern w:val="0"/>
                <w:sz w:val="24"/>
              </w:rPr>
            </w:pPr>
          </w:p>
        </w:tc>
      </w:tr>
      <w:tr>
        <w:tblPrEx>
          <w:tblCellMar>
            <w:top w:w="0" w:type="dxa"/>
            <w:left w:w="108" w:type="dxa"/>
            <w:bottom w:w="0" w:type="dxa"/>
            <w:right w:w="108" w:type="dxa"/>
          </w:tblCellMar>
        </w:tblPrEx>
        <w:trPr>
          <w:trHeight w:val="1022" w:hRule="exact"/>
          <w:jc w:val="center"/>
        </w:trPr>
        <w:tc>
          <w:tcPr>
            <w:tcW w:w="139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5"/>
              <w:ind w:left="102"/>
              <w:jc w:val="left"/>
              <w:rPr>
                <w:kern w:val="0"/>
                <w:sz w:val="24"/>
              </w:rPr>
            </w:pPr>
          </w:p>
        </w:tc>
        <w:tc>
          <w:tcPr>
            <w:tcW w:w="10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5"/>
              <w:ind w:left="102"/>
              <w:jc w:val="left"/>
              <w:rPr>
                <w:kern w:val="0"/>
                <w:sz w:val="24"/>
              </w:rPr>
            </w:pPr>
          </w:p>
        </w:tc>
        <w:tc>
          <w:tcPr>
            <w:tcW w:w="136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5"/>
              <w:ind w:left="102"/>
              <w:jc w:val="left"/>
              <w:rPr>
                <w:kern w:val="0"/>
                <w:sz w:val="24"/>
              </w:rPr>
            </w:pPr>
          </w:p>
        </w:tc>
        <w:tc>
          <w:tcPr>
            <w:tcW w:w="1796"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01"/>
              <w:ind w:left="102"/>
              <w:jc w:val="left"/>
              <w:rPr>
                <w:kern w:val="0"/>
                <w:sz w:val="24"/>
              </w:rPr>
            </w:pPr>
            <w:r>
              <w:rPr>
                <w:rFonts w:hint="eastAsia" w:ascii="楷体" w:hAnsi="楷体" w:eastAsia="楷体"/>
                <w:kern w:val="0"/>
              </w:rPr>
              <w:t>汽车检测员</w:t>
            </w:r>
          </w:p>
        </w:tc>
        <w:tc>
          <w:tcPr>
            <w:tcW w:w="3332" w:type="dxa"/>
            <w:vMerge w:val="continue"/>
            <w:tcBorders>
              <w:left w:val="single" w:color="000000" w:sz="4" w:space="0"/>
              <w:right w:val="single" w:color="000000" w:sz="4" w:space="0"/>
              <w:tl2br w:val="nil"/>
              <w:tr2bl w:val="nil"/>
            </w:tcBorders>
            <w:vAlign w:val="center"/>
          </w:tcPr>
          <w:p>
            <w:pPr>
              <w:kinsoku w:val="0"/>
              <w:overflowPunct w:val="0"/>
              <w:autoSpaceDE w:val="0"/>
              <w:autoSpaceDN w:val="0"/>
              <w:adjustRightInd w:val="0"/>
              <w:spacing w:before="147"/>
              <w:ind w:left="102"/>
              <w:jc w:val="left"/>
              <w:rPr>
                <w:kern w:val="0"/>
                <w:sz w:val="24"/>
              </w:rPr>
            </w:pPr>
          </w:p>
        </w:tc>
      </w:tr>
      <w:tr>
        <w:tblPrEx>
          <w:tblCellMar>
            <w:top w:w="0" w:type="dxa"/>
            <w:left w:w="108" w:type="dxa"/>
            <w:bottom w:w="0" w:type="dxa"/>
            <w:right w:w="108" w:type="dxa"/>
          </w:tblCellMar>
        </w:tblPrEx>
        <w:trPr>
          <w:trHeight w:val="1092" w:hRule="exact"/>
          <w:jc w:val="center"/>
        </w:trPr>
        <w:tc>
          <w:tcPr>
            <w:tcW w:w="139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23"/>
              <w:ind w:left="102"/>
              <w:jc w:val="left"/>
              <w:rPr>
                <w:kern w:val="0"/>
                <w:sz w:val="24"/>
              </w:rPr>
            </w:pPr>
          </w:p>
        </w:tc>
        <w:tc>
          <w:tcPr>
            <w:tcW w:w="107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23"/>
              <w:ind w:left="102"/>
              <w:jc w:val="left"/>
              <w:rPr>
                <w:kern w:val="0"/>
                <w:sz w:val="24"/>
              </w:rPr>
            </w:pPr>
          </w:p>
        </w:tc>
        <w:tc>
          <w:tcPr>
            <w:tcW w:w="136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23"/>
              <w:ind w:left="102"/>
              <w:jc w:val="left"/>
              <w:rPr>
                <w:kern w:val="0"/>
                <w:sz w:val="24"/>
              </w:rPr>
            </w:pPr>
          </w:p>
        </w:tc>
        <w:tc>
          <w:tcPr>
            <w:tcW w:w="1796" w:type="dxa"/>
            <w:tcBorders>
              <w:top w:val="single" w:color="000000" w:sz="4" w:space="0"/>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01"/>
              <w:ind w:left="102"/>
              <w:jc w:val="left"/>
              <w:rPr>
                <w:kern w:val="0"/>
                <w:sz w:val="24"/>
              </w:rPr>
            </w:pPr>
            <w:r>
              <w:rPr>
                <w:rFonts w:hint="eastAsia" w:ascii="楷体" w:hAnsi="楷体" w:eastAsia="楷体"/>
                <w:kern w:val="0"/>
              </w:rPr>
              <w:t>汽车维修业务接待员</w:t>
            </w:r>
          </w:p>
        </w:tc>
        <w:tc>
          <w:tcPr>
            <w:tcW w:w="3332" w:type="dxa"/>
            <w:vMerge w:val="continue"/>
            <w:tcBorders>
              <w:left w:val="single" w:color="000000" w:sz="4" w:space="0"/>
              <w:bottom w:val="single" w:color="000000" w:sz="4" w:space="0"/>
              <w:right w:val="single" w:color="000000" w:sz="4" w:space="0"/>
              <w:tl2br w:val="nil"/>
              <w:tr2bl w:val="nil"/>
            </w:tcBorders>
            <w:vAlign w:val="center"/>
          </w:tcPr>
          <w:p>
            <w:pPr>
              <w:kinsoku w:val="0"/>
              <w:overflowPunct w:val="0"/>
              <w:autoSpaceDE w:val="0"/>
              <w:autoSpaceDN w:val="0"/>
              <w:adjustRightInd w:val="0"/>
              <w:spacing w:before="147"/>
              <w:ind w:left="102"/>
              <w:jc w:val="left"/>
              <w:rPr>
                <w:kern w:val="0"/>
                <w:sz w:val="24"/>
              </w:rPr>
            </w:pPr>
          </w:p>
        </w:tc>
      </w:tr>
    </w:tbl>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26" w:name="_Toc1163039879"/>
      <w:bookmarkStart w:id="27" w:name="_Toc221148457"/>
      <w:bookmarkStart w:id="28" w:name="_Toc239377399"/>
      <w:bookmarkStart w:id="29" w:name="_Toc915753705"/>
      <w:bookmarkStart w:id="30" w:name="_Toc2040092651"/>
      <w:r>
        <w:rPr>
          <w:rFonts w:hint="eastAsia" w:ascii="黑体" w:hAnsi="黑体" w:eastAsia="黑体"/>
          <w:sz w:val="26"/>
          <w:szCs w:val="26"/>
        </w:rPr>
        <w:t>五、培养目标与培养</w:t>
      </w:r>
      <w:r>
        <w:rPr>
          <w:rFonts w:ascii="黑体" w:hAnsi="黑体" w:eastAsia="黑体"/>
          <w:sz w:val="26"/>
          <w:szCs w:val="26"/>
        </w:rPr>
        <w:t>规格</w:t>
      </w:r>
      <w:bookmarkEnd w:id="26"/>
      <w:bookmarkEnd w:id="27"/>
      <w:bookmarkEnd w:id="28"/>
      <w:bookmarkEnd w:id="29"/>
      <w:bookmarkEnd w:id="30"/>
    </w:p>
    <w:p>
      <w:pPr>
        <w:adjustRightInd w:val="0"/>
        <w:snapToGrid w:val="0"/>
        <w:spacing w:line="420" w:lineRule="exact"/>
        <w:ind w:firstLine="520" w:firstLineChars="200"/>
        <w:outlineLvl w:val="1"/>
        <w:rPr>
          <w:rFonts w:ascii="楷体" w:hAnsi="楷体" w:eastAsia="楷体"/>
          <w:sz w:val="26"/>
          <w:szCs w:val="26"/>
        </w:rPr>
      </w:pPr>
      <w:bookmarkStart w:id="31" w:name="_Toc405452211"/>
      <w:bookmarkStart w:id="32" w:name="_Toc757526311"/>
      <w:bookmarkStart w:id="33" w:name="_Toc874898828"/>
      <w:r>
        <w:rPr>
          <w:rFonts w:hint="eastAsia" w:ascii="楷体" w:hAnsi="楷体" w:eastAsia="楷体"/>
          <w:sz w:val="26"/>
          <w:szCs w:val="26"/>
        </w:rPr>
        <w:t>（一）培养目标</w:t>
      </w:r>
      <w:bookmarkEnd w:id="31"/>
      <w:bookmarkEnd w:id="32"/>
      <w:bookmarkEnd w:id="33"/>
    </w:p>
    <w:p>
      <w:pPr>
        <w:adjustRightInd w:val="0"/>
        <w:snapToGrid w:val="0"/>
        <w:spacing w:line="420" w:lineRule="exact"/>
        <w:ind w:firstLine="520" w:firstLineChars="200"/>
        <w:jc w:val="left"/>
        <w:rPr>
          <w:rFonts w:ascii="仿宋" w:hAnsi="仿宋" w:eastAsia="仿宋"/>
          <w:sz w:val="26"/>
          <w:szCs w:val="26"/>
        </w:rPr>
      </w:pPr>
      <w:r>
        <w:rPr>
          <w:rFonts w:hint="eastAsia" w:ascii="仿宋" w:hAnsi="仿宋" w:eastAsia="仿宋"/>
          <w:sz w:val="26"/>
          <w:szCs w:val="26"/>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pStyle w:val="8"/>
        <w:kinsoku w:val="0"/>
        <w:overflowPunct w:val="0"/>
        <w:spacing w:line="420" w:lineRule="exact"/>
        <w:ind w:firstLine="522"/>
        <w:rPr>
          <w:rFonts w:ascii="仿宋" w:hAnsi="仿宋" w:eastAsia="仿宋"/>
          <w:sz w:val="26"/>
          <w:szCs w:val="26"/>
        </w:rPr>
      </w:pPr>
      <w:r>
        <w:rPr>
          <w:rFonts w:hint="eastAsia" w:ascii="仿宋" w:hAnsi="仿宋" w:eastAsia="仿宋"/>
          <w:sz w:val="26"/>
          <w:szCs w:val="26"/>
        </w:rPr>
        <w:t>本专业</w:t>
      </w:r>
      <w:r>
        <w:rPr>
          <w:rFonts w:ascii="仿宋" w:hAnsi="仿宋" w:eastAsia="仿宋"/>
          <w:sz w:val="26"/>
          <w:szCs w:val="26"/>
        </w:rPr>
        <w:t>面向汽车生产制造、销售及售后服务企业，培养具有良好的劳动职业素养和科学文化素质，</w:t>
      </w:r>
      <w:r>
        <w:rPr>
          <w:rFonts w:hint="eastAsia" w:ascii="仿宋" w:hAnsi="仿宋" w:eastAsia="仿宋"/>
          <w:sz w:val="26"/>
          <w:szCs w:val="26"/>
        </w:rPr>
        <w:t>具备精益求精的工匠精神和爱岗敬业的劳动精神，</w:t>
      </w:r>
      <w:r>
        <w:rPr>
          <w:rFonts w:ascii="仿宋" w:hAnsi="仿宋" w:eastAsia="仿宋"/>
          <w:sz w:val="26"/>
          <w:szCs w:val="26"/>
        </w:rPr>
        <w:t>掌握汽车专业知识和操作技能，具备较强的综合职业能力和创业创新能力，能从事汽车维护保养、检测维修、汽车销售、保险理赔等工作，具有</w:t>
      </w:r>
      <w:r>
        <w:rPr>
          <w:rFonts w:hint="eastAsia" w:ascii="仿宋" w:hAnsi="仿宋" w:eastAsia="仿宋"/>
          <w:sz w:val="26"/>
          <w:szCs w:val="26"/>
        </w:rPr>
        <w:t>可持续</w:t>
      </w:r>
      <w:r>
        <w:rPr>
          <w:rFonts w:ascii="仿宋" w:hAnsi="仿宋" w:eastAsia="仿宋"/>
          <w:sz w:val="26"/>
          <w:szCs w:val="26"/>
        </w:rPr>
        <w:t>发展能力的高素质劳动者和复合型技术技能人才。</w:t>
      </w:r>
    </w:p>
    <w:p>
      <w:pPr>
        <w:adjustRightInd w:val="0"/>
        <w:snapToGrid w:val="0"/>
        <w:spacing w:line="420" w:lineRule="exact"/>
        <w:ind w:firstLine="520" w:firstLineChars="200"/>
        <w:outlineLvl w:val="1"/>
        <w:rPr>
          <w:rFonts w:ascii="楷体" w:hAnsi="楷体" w:eastAsia="楷体"/>
          <w:sz w:val="26"/>
          <w:szCs w:val="26"/>
        </w:rPr>
      </w:pPr>
      <w:bookmarkStart w:id="34" w:name="_Toc1353143062"/>
      <w:bookmarkStart w:id="35" w:name="_Toc651567723"/>
      <w:bookmarkStart w:id="36" w:name="_Toc1163394095"/>
      <w:r>
        <w:rPr>
          <w:rFonts w:hint="eastAsia" w:ascii="楷体" w:hAnsi="楷体" w:eastAsia="楷体"/>
          <w:sz w:val="26"/>
          <w:szCs w:val="26"/>
        </w:rPr>
        <w:t>（二）培养规格</w:t>
      </w:r>
      <w:bookmarkEnd w:id="34"/>
      <w:bookmarkEnd w:id="35"/>
      <w:bookmarkEnd w:id="36"/>
    </w:p>
    <w:p>
      <w:pPr>
        <w:adjustRightInd w:val="0"/>
        <w:snapToGrid w:val="0"/>
        <w:spacing w:line="420" w:lineRule="exact"/>
        <w:ind w:firstLine="520" w:firstLineChars="200"/>
        <w:outlineLvl w:val="2"/>
        <w:rPr>
          <w:rFonts w:hint="eastAsia" w:ascii="仿宋" w:hAnsi="仿宋" w:eastAsia="仿宋"/>
          <w:bCs/>
          <w:sz w:val="26"/>
          <w:szCs w:val="26"/>
          <w:lang w:val="en-US" w:eastAsia="zh-CN"/>
        </w:rPr>
      </w:pPr>
      <w:bookmarkStart w:id="37" w:name="_Toc1097269489"/>
      <w:r>
        <w:rPr>
          <w:rFonts w:hint="eastAsia" w:ascii="仿宋" w:hAnsi="仿宋" w:eastAsia="仿宋"/>
          <w:bCs/>
          <w:sz w:val="26"/>
          <w:szCs w:val="26"/>
        </w:rPr>
        <w:t>1.</w:t>
      </w:r>
      <w:r>
        <w:rPr>
          <w:rFonts w:ascii="仿宋" w:hAnsi="仿宋" w:eastAsia="仿宋"/>
          <w:bCs/>
          <w:sz w:val="26"/>
          <w:szCs w:val="26"/>
        </w:rPr>
        <w:t>素</w:t>
      </w:r>
      <w:bookmarkEnd w:id="37"/>
      <w:r>
        <w:rPr>
          <w:rFonts w:hint="eastAsia" w:ascii="仿宋" w:hAnsi="仿宋" w:eastAsia="仿宋"/>
          <w:bCs/>
          <w:sz w:val="26"/>
          <w:szCs w:val="26"/>
          <w:lang w:val="en-US" w:eastAsia="zh-CN"/>
        </w:rPr>
        <w:t>养</w:t>
      </w:r>
    </w:p>
    <w:p>
      <w:pPr>
        <w:adjustRightInd w:val="0"/>
        <w:snapToGrid w:val="0"/>
        <w:spacing w:line="420" w:lineRule="exact"/>
        <w:ind w:firstLine="520" w:firstLineChars="200"/>
        <w:rPr>
          <w:rFonts w:ascii="仿宋" w:hAnsi="仿宋" w:eastAsia="仿宋"/>
          <w:sz w:val="26"/>
          <w:szCs w:val="26"/>
        </w:rPr>
      </w:pPr>
      <w:r>
        <w:rPr>
          <w:rFonts w:ascii="仿宋" w:hAnsi="仿宋" w:eastAsia="仿宋"/>
          <w:sz w:val="26"/>
          <w:szCs w:val="26"/>
        </w:rPr>
        <w:t>（1）热爱祖国和人民，拥护中国共产党的领导和中国特色社会主义事业，具备坚定的理想信念，树立科学的世界观、社会主义核心价值观和为人民服务的人生观，具有强烈的社会责任感和家国情怀，关心国家时政，自觉维护国家和人民利益；</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（2）具备良好的职业道德，能自觉遵守国家法律法规和行业、企业规范；</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（3）具备较强的身心素质、职业素养和科学文化素养；</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（4）具有精益求精的工匠精神和开拓进取的创新精神；</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（5）具有努力奋斗的劳模精神和爱岗敬业的劳动精神；</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（6）具有安全文明生产、节能环保和健康卫生的意识；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（7）具有服务人民和奉献社会的意识。</w:t>
      </w:r>
    </w:p>
    <w:p>
      <w:pPr>
        <w:adjustRightInd w:val="0"/>
        <w:snapToGrid w:val="0"/>
        <w:spacing w:line="420" w:lineRule="exact"/>
        <w:ind w:firstLine="520" w:firstLineChars="200"/>
        <w:outlineLvl w:val="2"/>
        <w:rPr>
          <w:rFonts w:ascii="仿宋" w:hAnsi="仿宋" w:eastAsia="仿宋"/>
          <w:bCs/>
          <w:sz w:val="26"/>
          <w:szCs w:val="26"/>
        </w:rPr>
      </w:pPr>
      <w:bookmarkStart w:id="38" w:name="_Toc1455366711"/>
      <w:r>
        <w:rPr>
          <w:rFonts w:hint="eastAsia" w:ascii="仿宋" w:hAnsi="仿宋" w:eastAsia="仿宋"/>
          <w:bCs/>
          <w:sz w:val="26"/>
          <w:szCs w:val="26"/>
        </w:rPr>
        <w:t>2.知识</w:t>
      </w:r>
      <w:bookmarkEnd w:id="38"/>
    </w:p>
    <w:p>
      <w:pPr>
        <w:adjustRightInd w:val="0"/>
        <w:snapToGrid w:val="0"/>
        <w:spacing w:line="420" w:lineRule="exact"/>
        <w:ind w:firstLine="520" w:firstLineChars="200"/>
        <w:rPr>
          <w:rFonts w:ascii="仿宋" w:hAnsi="仿宋" w:eastAsia="仿宋"/>
          <w:bCs/>
          <w:sz w:val="26"/>
          <w:szCs w:val="26"/>
        </w:rPr>
      </w:pPr>
      <w:r>
        <w:rPr>
          <w:rFonts w:hint="eastAsia" w:ascii="仿宋" w:hAnsi="仿宋" w:eastAsia="仿宋"/>
          <w:bCs/>
          <w:sz w:val="26"/>
          <w:szCs w:val="26"/>
        </w:rPr>
        <w:t>（1）公共基础知识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掌握必备的思想政治理论、科学文化基础知识和中华优秀传统文化。</w:t>
      </w:r>
    </w:p>
    <w:p>
      <w:pPr>
        <w:adjustRightInd w:val="0"/>
        <w:snapToGrid w:val="0"/>
        <w:spacing w:line="420" w:lineRule="exact"/>
        <w:ind w:firstLine="520" w:firstLineChars="200"/>
        <w:rPr>
          <w:rFonts w:ascii="仿宋" w:hAnsi="仿宋" w:eastAsia="仿宋"/>
          <w:bCs/>
          <w:sz w:val="26"/>
          <w:szCs w:val="26"/>
        </w:rPr>
      </w:pPr>
      <w:r>
        <w:rPr>
          <w:rFonts w:hint="eastAsia" w:ascii="仿宋" w:hAnsi="仿宋" w:eastAsia="仿宋"/>
          <w:bCs/>
          <w:sz w:val="26"/>
          <w:szCs w:val="26"/>
        </w:rPr>
        <w:t>（2）专业知识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①掌握汽车构造与工作原理方面的基础知识；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②掌握汽车检测与维修方面的专业知识；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③掌握汽车维修业务接待方面的专业知识；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④掌握汽车整车及配件销售方面的专业知识；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⑤掌握新能源汽车的检测及维修方面的专业知识。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（3）安全卫生知识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①掌握生产、消防、交通、人身等方面的安全知识；</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②掌握预防传染病和个人健康卫生方面的知识。</w:t>
      </w:r>
    </w:p>
    <w:p>
      <w:pPr>
        <w:adjustRightInd w:val="0"/>
        <w:snapToGrid w:val="0"/>
        <w:spacing w:line="420" w:lineRule="exact"/>
        <w:ind w:firstLine="520" w:firstLineChars="200"/>
        <w:outlineLvl w:val="2"/>
        <w:rPr>
          <w:rFonts w:ascii="仿宋" w:hAnsi="仿宋" w:eastAsia="仿宋"/>
          <w:bCs/>
          <w:sz w:val="26"/>
          <w:szCs w:val="26"/>
        </w:rPr>
      </w:pPr>
      <w:bookmarkStart w:id="39" w:name="_Toc1417049970"/>
      <w:r>
        <w:rPr>
          <w:rFonts w:hint="eastAsia" w:ascii="仿宋" w:hAnsi="仿宋" w:eastAsia="仿宋"/>
          <w:bCs/>
          <w:sz w:val="26"/>
          <w:szCs w:val="26"/>
        </w:rPr>
        <w:t>3.能力</w:t>
      </w:r>
      <w:bookmarkEnd w:id="39"/>
    </w:p>
    <w:p>
      <w:pPr>
        <w:adjustRightInd w:val="0"/>
        <w:snapToGrid w:val="0"/>
        <w:spacing w:line="420" w:lineRule="exact"/>
        <w:ind w:firstLine="520" w:firstLineChars="200"/>
        <w:rPr>
          <w:rFonts w:ascii="仿宋" w:hAnsi="仿宋" w:eastAsia="仿宋"/>
          <w:bCs/>
          <w:sz w:val="26"/>
          <w:szCs w:val="26"/>
        </w:rPr>
      </w:pPr>
      <w:r>
        <w:rPr>
          <w:rFonts w:hint="eastAsia" w:ascii="仿宋" w:hAnsi="仿宋" w:eastAsia="仿宋"/>
          <w:bCs/>
          <w:sz w:val="26"/>
          <w:szCs w:val="26"/>
        </w:rPr>
        <w:t>（1）通用能力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①具</w:t>
      </w:r>
      <w:r>
        <w:rPr>
          <w:rFonts w:ascii="仿宋" w:hAnsi="仿宋" w:eastAsia="仿宋"/>
          <w:sz w:val="26"/>
          <w:szCs w:val="26"/>
        </w:rPr>
        <w:t>有良好的</w:t>
      </w:r>
      <w:r>
        <w:rPr>
          <w:rFonts w:hint="eastAsia" w:ascii="仿宋" w:hAnsi="仿宋" w:eastAsia="仿宋"/>
          <w:sz w:val="26"/>
          <w:szCs w:val="26"/>
        </w:rPr>
        <w:t>语言</w:t>
      </w:r>
      <w:r>
        <w:rPr>
          <w:rFonts w:ascii="仿宋" w:hAnsi="仿宋" w:eastAsia="仿宋"/>
          <w:sz w:val="26"/>
          <w:szCs w:val="26"/>
        </w:rPr>
        <w:t>文字表达能力；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②具有基本的计算技能、信息技术使用技能；</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③具有搜集、处理信息和资料并终身学习的能力；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④具有根据所学知识，分析和解决实际问题能力；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⑤具有</w:t>
      </w:r>
      <w:r>
        <w:rPr>
          <w:rFonts w:ascii="仿宋" w:hAnsi="仿宋" w:eastAsia="仿宋"/>
          <w:sz w:val="26"/>
          <w:szCs w:val="26"/>
        </w:rPr>
        <w:t>人际交往</w:t>
      </w:r>
      <w:r>
        <w:rPr>
          <w:rFonts w:hint="eastAsia" w:ascii="仿宋" w:hAnsi="仿宋" w:eastAsia="仿宋"/>
          <w:sz w:val="26"/>
          <w:szCs w:val="26"/>
        </w:rPr>
        <w:t>、沟通</w:t>
      </w:r>
      <w:r>
        <w:rPr>
          <w:rFonts w:ascii="仿宋" w:hAnsi="仿宋" w:eastAsia="仿宋"/>
          <w:sz w:val="26"/>
          <w:szCs w:val="26"/>
        </w:rPr>
        <w:t>与团队协作能力</w:t>
      </w:r>
      <w:r>
        <w:rPr>
          <w:rFonts w:hint="eastAsia" w:ascii="仿宋" w:hAnsi="仿宋" w:eastAsia="仿宋"/>
          <w:sz w:val="26"/>
          <w:szCs w:val="26"/>
        </w:rPr>
        <w:t>；</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⑥具有不断反思、总结、改进工作的能力；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⑦具有应对突发情况，保护自身健康与安全的能力。</w:t>
      </w:r>
    </w:p>
    <w:p>
      <w:pPr>
        <w:adjustRightInd w:val="0"/>
        <w:snapToGrid w:val="0"/>
        <w:spacing w:line="420" w:lineRule="exact"/>
        <w:ind w:firstLine="520" w:firstLineChars="200"/>
        <w:rPr>
          <w:rFonts w:ascii="仿宋" w:hAnsi="仿宋" w:eastAsia="仿宋"/>
          <w:bCs/>
          <w:sz w:val="26"/>
          <w:szCs w:val="26"/>
        </w:rPr>
      </w:pPr>
      <w:r>
        <w:rPr>
          <w:rFonts w:hint="eastAsia" w:ascii="仿宋" w:hAnsi="仿宋" w:eastAsia="仿宋"/>
          <w:bCs/>
          <w:sz w:val="26"/>
          <w:szCs w:val="26"/>
        </w:rPr>
        <w:t>（2）专业能力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①能识读汽车各类结构图和电路图，能绘制简单的零件图和电路原理图；</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②能正确选择并使用汽车维修常用工具、量具、仪器与设备；</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③能够进行维修资料查询和汽车维修咨询服务，能够收集、使用相关信息，制订本职工作计划并实施与评价；</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④能完成汽车二级维护作业及常见维修项目的作业；</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⑤具有诊断汽车一般故障的能力；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⑥具有完成汽车机电修理作业的能力；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⑦具有汽车性能检测的能力；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⑧具有汽车空调与电气修理的能力；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⑨具有汽车维修接待的能力；</w:t>
      </w:r>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⑩具有新能源汽车维护、保养与修理能力。</w:t>
      </w:r>
    </w:p>
    <w:p>
      <w:pPr>
        <w:adjustRightInd w:val="0"/>
        <w:snapToGrid w:val="0"/>
        <w:spacing w:line="420" w:lineRule="exact"/>
        <w:ind w:firstLine="520" w:firstLineChars="200"/>
        <w:outlineLvl w:val="2"/>
        <w:rPr>
          <w:rFonts w:ascii="仿宋" w:hAnsi="仿宋" w:eastAsia="仿宋"/>
          <w:sz w:val="26"/>
          <w:szCs w:val="26"/>
        </w:rPr>
      </w:pPr>
      <w:bookmarkStart w:id="40" w:name="_Toc1113034095"/>
      <w:r>
        <w:rPr>
          <w:rFonts w:hint="eastAsia" w:ascii="仿宋" w:hAnsi="仿宋" w:eastAsia="仿宋"/>
          <w:sz w:val="26"/>
          <w:szCs w:val="26"/>
        </w:rPr>
        <w:t>4.岗课赛证融通</w:t>
      </w:r>
      <w:bookmarkEnd w:id="40"/>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推进1+X证书制度实施，夯实学生可持续发展基础，鼓励学生在校期间取得汽车修理工、1+X证书等职业技能等级证书；积极参加国家、省、市技能比赛获取技能大赛获奖证书；深入企业进行跟岗、顶岗实习。根据学生职业技能证书数量和跟岗、顶岗实习经历，实施岗课赛证融通，赋予学生1至2分的相应学分，帮助学生达到和超额完成最低学分要求，获得学历证书，拓展就业创业本领。</w:t>
      </w:r>
    </w:p>
    <w:p>
      <w:pPr>
        <w:adjustRightInd w:val="0"/>
        <w:snapToGrid w:val="0"/>
        <w:spacing w:line="420" w:lineRule="exact"/>
        <w:jc w:val="center"/>
        <w:outlineLvl w:val="1"/>
        <w:rPr>
          <w:rFonts w:ascii="仿宋" w:hAnsi="仿宋" w:eastAsia="仿宋"/>
          <w:sz w:val="26"/>
          <w:szCs w:val="26"/>
        </w:rPr>
      </w:pPr>
      <w:bookmarkStart w:id="41" w:name="_Toc2037938707"/>
      <w:bookmarkStart w:id="42" w:name="_Toc779214718"/>
      <w:bookmarkStart w:id="43" w:name="_Toc456617208"/>
      <w:r>
        <w:rPr>
          <w:rFonts w:hint="eastAsia" w:ascii="仿宋" w:hAnsi="仿宋" w:eastAsia="仿宋"/>
          <w:sz w:val="26"/>
          <w:szCs w:val="26"/>
        </w:rPr>
        <w:t>汽车运用与维修专业课证融通对应表（一）</w:t>
      </w:r>
      <w:bookmarkEnd w:id="41"/>
      <w:bookmarkEnd w:id="42"/>
      <w:bookmarkEnd w:id="43"/>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09"/>
        <w:gridCol w:w="709"/>
        <w:gridCol w:w="708"/>
        <w:gridCol w:w="3119"/>
        <w:gridCol w:w="70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center"/>
              <w:rPr>
                <w:rFonts w:ascii="楷体" w:hAnsi="楷体" w:eastAsia="楷体"/>
                <w:b/>
                <w:szCs w:val="21"/>
              </w:rPr>
            </w:pPr>
            <w:r>
              <w:rPr>
                <w:rFonts w:hint="eastAsia" w:ascii="楷体" w:hAnsi="楷体" w:eastAsia="楷体"/>
                <w:b/>
                <w:szCs w:val="21"/>
              </w:rPr>
              <w:t>汽车运用与维修职业技能等级证书</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等级</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职业技能</w:t>
            </w:r>
          </w:p>
        </w:tc>
        <w:tc>
          <w:tcPr>
            <w:tcW w:w="708" w:type="dxa"/>
            <w:vAlign w:val="center"/>
          </w:tcPr>
          <w:p>
            <w:pPr>
              <w:adjustRightInd w:val="0"/>
              <w:snapToGrid w:val="0"/>
              <w:jc w:val="center"/>
              <w:rPr>
                <w:rFonts w:ascii="楷体" w:hAnsi="楷体" w:eastAsia="楷体"/>
                <w:b/>
                <w:szCs w:val="21"/>
              </w:rPr>
            </w:pPr>
            <w:r>
              <w:rPr>
                <w:rFonts w:hint="eastAsia" w:ascii="楷体" w:hAnsi="楷体" w:eastAsia="楷体"/>
                <w:b/>
                <w:szCs w:val="21"/>
              </w:rPr>
              <w:t>知识要求</w:t>
            </w:r>
          </w:p>
        </w:tc>
        <w:tc>
          <w:tcPr>
            <w:tcW w:w="3119" w:type="dxa"/>
            <w:vAlign w:val="center"/>
          </w:tcPr>
          <w:p>
            <w:pPr>
              <w:adjustRightInd w:val="0"/>
              <w:snapToGrid w:val="0"/>
              <w:jc w:val="center"/>
              <w:rPr>
                <w:rFonts w:ascii="楷体" w:hAnsi="楷体" w:eastAsia="楷体"/>
                <w:b/>
                <w:szCs w:val="21"/>
              </w:rPr>
            </w:pPr>
            <w:r>
              <w:rPr>
                <w:rFonts w:hint="eastAsia" w:ascii="楷体" w:hAnsi="楷体" w:eastAsia="楷体"/>
                <w:b/>
                <w:szCs w:val="21"/>
              </w:rPr>
              <w:t>对应课程</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学时</w:t>
            </w:r>
          </w:p>
        </w:tc>
        <w:tc>
          <w:tcPr>
            <w:tcW w:w="701" w:type="dxa"/>
            <w:vAlign w:val="center"/>
          </w:tcPr>
          <w:p>
            <w:pPr>
              <w:adjustRightInd w:val="0"/>
              <w:snapToGrid w:val="0"/>
              <w:jc w:val="center"/>
              <w:rPr>
                <w:rFonts w:ascii="楷体" w:hAnsi="楷体" w:eastAsia="楷体"/>
                <w:b/>
                <w:szCs w:val="21"/>
              </w:rPr>
            </w:pPr>
            <w:r>
              <w:rPr>
                <w:rFonts w:hint="eastAsia" w:ascii="楷体" w:hAnsi="楷体" w:eastAsia="楷体"/>
                <w:b/>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1-1-3汽车动力与驱动系统综合分析技术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9</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01</w:t>
            </w:r>
          </w:p>
        </w:tc>
        <w:tc>
          <w:tcPr>
            <w:tcW w:w="3119" w:type="dxa"/>
            <w:vAlign w:val="center"/>
          </w:tcPr>
          <w:p>
            <w:pPr>
              <w:adjustRightInd w:val="0"/>
              <w:snapToGrid w:val="0"/>
              <w:jc w:val="center"/>
              <w:rPr>
                <w:rFonts w:hint="default" w:ascii="楷体" w:hAnsi="楷体" w:eastAsia="楷体"/>
                <w:szCs w:val="21"/>
              </w:rPr>
            </w:pPr>
            <w:r>
              <w:rPr>
                <w:rFonts w:hint="eastAsia" w:ascii="楷体" w:hAnsi="楷体" w:eastAsia="楷体"/>
                <w:szCs w:val="21"/>
              </w:rPr>
              <w:t>汽车发动机</w:t>
            </w:r>
            <w:r>
              <w:rPr>
                <w:rFonts w:hint="default" w:ascii="楷体" w:hAnsi="楷体" w:eastAsia="楷体"/>
                <w:szCs w:val="21"/>
              </w:rPr>
              <w:t>电控系统检修</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08</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1-2-3汽车转向悬挂与制动安全系统技术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8</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08</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汽车底盘构造与维修</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08</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1-3-3汽车电子电气与空调舒适系统技术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3</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8</w:t>
            </w:r>
            <w:r>
              <w:rPr>
                <w:rFonts w:ascii="楷体" w:hAnsi="楷体" w:eastAsia="楷体"/>
                <w:szCs w:val="21"/>
              </w:rPr>
              <w:t>1</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highlight w:val="none"/>
              </w:rPr>
              <w:t>汽车电气设备构造与维修</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144</w:t>
            </w:r>
          </w:p>
        </w:tc>
        <w:tc>
          <w:tcPr>
            <w:tcW w:w="701" w:type="dxa"/>
            <w:vAlign w:val="center"/>
          </w:tcPr>
          <w:p>
            <w:pPr>
              <w:adjustRightInd w:val="0"/>
              <w:snapToGrid w:val="0"/>
              <w:jc w:val="center"/>
              <w:rPr>
                <w:rFonts w:ascii="楷体" w:hAnsi="楷体" w:eastAsia="楷体"/>
                <w:szCs w:val="21"/>
              </w:rPr>
            </w:pPr>
            <w:r>
              <w:rPr>
                <w:rFonts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1-7-3汽车营销评估与金融保险服务技术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5</w:t>
            </w:r>
            <w:r>
              <w:rPr>
                <w:rFonts w:ascii="楷体" w:hAnsi="楷体" w:eastAsia="楷体"/>
                <w:szCs w:val="21"/>
              </w:rPr>
              <w:t>4</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2</w:t>
            </w:r>
            <w:r>
              <w:rPr>
                <w:rFonts w:ascii="楷体" w:hAnsi="楷体" w:eastAsia="楷体"/>
                <w:szCs w:val="21"/>
              </w:rPr>
              <w:t>37</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汽车整车与配件营销</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72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1-8-3汽车美容装饰与加装改装服务技术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4</w:t>
            </w:r>
            <w:r>
              <w:rPr>
                <w:rFonts w:ascii="楷体" w:hAnsi="楷体" w:eastAsia="楷体"/>
                <w:szCs w:val="21"/>
              </w:rPr>
              <w:t>9</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02</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汽车美容与装潢</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1-9-3汽车车身漆面养护与涂装喷漆技术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3</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6</w:t>
            </w:r>
            <w:r>
              <w:rPr>
                <w:rFonts w:ascii="楷体" w:hAnsi="楷体" w:eastAsia="楷体"/>
                <w:szCs w:val="21"/>
              </w:rPr>
              <w:t>3</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汽车涂装技术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1-10-3汽车车身钣金修护与车架调校技术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初级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8</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6</w:t>
            </w:r>
            <w:r>
              <w:rPr>
                <w:rFonts w:ascii="楷体" w:hAnsi="楷体" w:eastAsia="楷体"/>
                <w:szCs w:val="21"/>
              </w:rPr>
              <w:t>1</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汽车车身修复技术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bl>
    <w:p>
      <w:pPr>
        <w:adjustRightInd w:val="0"/>
        <w:snapToGrid w:val="0"/>
        <w:spacing w:line="420" w:lineRule="exact"/>
        <w:jc w:val="center"/>
        <w:outlineLvl w:val="1"/>
        <w:rPr>
          <w:rFonts w:ascii="仿宋" w:hAnsi="仿宋" w:eastAsia="仿宋"/>
          <w:sz w:val="26"/>
          <w:szCs w:val="26"/>
        </w:rPr>
      </w:pPr>
      <w:bookmarkStart w:id="44" w:name="_Toc1920920406"/>
      <w:bookmarkStart w:id="45" w:name="_Toc2076581808"/>
      <w:bookmarkStart w:id="46" w:name="_Toc710742316"/>
      <w:r>
        <w:rPr>
          <w:rFonts w:hint="eastAsia" w:ascii="仿宋" w:hAnsi="仿宋" w:eastAsia="仿宋"/>
          <w:sz w:val="26"/>
          <w:szCs w:val="26"/>
        </w:rPr>
        <w:t>汽车运用与维修专业课证融通对应表（二）</w:t>
      </w:r>
      <w:bookmarkEnd w:id="44"/>
      <w:bookmarkEnd w:id="45"/>
      <w:bookmarkEnd w:id="46"/>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09"/>
        <w:gridCol w:w="709"/>
        <w:gridCol w:w="708"/>
        <w:gridCol w:w="3119"/>
        <w:gridCol w:w="70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center"/>
              <w:rPr>
                <w:rFonts w:ascii="楷体" w:hAnsi="楷体" w:eastAsia="楷体"/>
                <w:b/>
                <w:szCs w:val="21"/>
              </w:rPr>
            </w:pPr>
            <w:r>
              <w:rPr>
                <w:rFonts w:hint="eastAsia" w:ascii="楷体" w:hAnsi="楷体" w:eastAsia="楷体"/>
                <w:b/>
                <w:szCs w:val="21"/>
              </w:rPr>
              <w:t>汽车运用与维修职业技能等级证书</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等级</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职业技能</w:t>
            </w:r>
          </w:p>
        </w:tc>
        <w:tc>
          <w:tcPr>
            <w:tcW w:w="708" w:type="dxa"/>
            <w:vAlign w:val="center"/>
          </w:tcPr>
          <w:p>
            <w:pPr>
              <w:adjustRightInd w:val="0"/>
              <w:snapToGrid w:val="0"/>
              <w:jc w:val="center"/>
              <w:rPr>
                <w:rFonts w:ascii="楷体" w:hAnsi="楷体" w:eastAsia="楷体"/>
                <w:b/>
                <w:szCs w:val="21"/>
              </w:rPr>
            </w:pPr>
            <w:r>
              <w:rPr>
                <w:rFonts w:hint="eastAsia" w:ascii="楷体" w:hAnsi="楷体" w:eastAsia="楷体"/>
                <w:b/>
                <w:szCs w:val="21"/>
              </w:rPr>
              <w:t>知识要求</w:t>
            </w:r>
          </w:p>
        </w:tc>
        <w:tc>
          <w:tcPr>
            <w:tcW w:w="3119" w:type="dxa"/>
            <w:vAlign w:val="center"/>
          </w:tcPr>
          <w:p>
            <w:pPr>
              <w:adjustRightInd w:val="0"/>
              <w:snapToGrid w:val="0"/>
              <w:jc w:val="center"/>
              <w:rPr>
                <w:rFonts w:ascii="楷体" w:hAnsi="楷体" w:eastAsia="楷体"/>
                <w:b/>
                <w:szCs w:val="21"/>
              </w:rPr>
            </w:pPr>
            <w:r>
              <w:rPr>
                <w:rFonts w:hint="eastAsia" w:ascii="楷体" w:hAnsi="楷体" w:eastAsia="楷体"/>
                <w:b/>
                <w:szCs w:val="21"/>
              </w:rPr>
              <w:t>对应课程</w:t>
            </w:r>
          </w:p>
        </w:tc>
        <w:tc>
          <w:tcPr>
            <w:tcW w:w="709" w:type="dxa"/>
            <w:vAlign w:val="center"/>
          </w:tcPr>
          <w:p>
            <w:pPr>
              <w:adjustRightInd w:val="0"/>
              <w:snapToGrid w:val="0"/>
              <w:jc w:val="center"/>
              <w:rPr>
                <w:rFonts w:ascii="楷体" w:hAnsi="楷体" w:eastAsia="楷体"/>
                <w:b/>
                <w:szCs w:val="21"/>
              </w:rPr>
            </w:pPr>
            <w:r>
              <w:rPr>
                <w:rFonts w:hint="eastAsia" w:ascii="楷体" w:hAnsi="楷体" w:eastAsia="楷体"/>
                <w:b/>
                <w:szCs w:val="21"/>
              </w:rPr>
              <w:t>学时</w:t>
            </w:r>
          </w:p>
        </w:tc>
        <w:tc>
          <w:tcPr>
            <w:tcW w:w="701" w:type="dxa"/>
            <w:vAlign w:val="center"/>
          </w:tcPr>
          <w:p>
            <w:pPr>
              <w:adjustRightInd w:val="0"/>
              <w:snapToGrid w:val="0"/>
              <w:jc w:val="center"/>
              <w:rPr>
                <w:rFonts w:ascii="楷体" w:hAnsi="楷体" w:eastAsia="楷体"/>
                <w:b/>
                <w:szCs w:val="21"/>
              </w:rPr>
            </w:pPr>
            <w:r>
              <w:rPr>
                <w:rFonts w:hint="eastAsia" w:ascii="楷体" w:hAnsi="楷体" w:eastAsia="楷体"/>
                <w:b/>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1-1-2汽车动力与驱动系统综合分析技术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29</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96</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汽车发动机</w:t>
            </w:r>
            <w:r>
              <w:rPr>
                <w:rFonts w:hint="default" w:ascii="楷体" w:hAnsi="楷体" w:eastAsia="楷体"/>
                <w:szCs w:val="21"/>
              </w:rPr>
              <w:t>电控系统检修</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08</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1-2-2汽车转向悬挂与制动安全系统技术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22</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142</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汽车底盘构造与维修</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08</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1-3-2汽车电子电气与空调舒适系统技术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30</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160</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highlight w:val="none"/>
              </w:rPr>
              <w:t>汽车电气设备构造与维修</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144</w:t>
            </w:r>
          </w:p>
        </w:tc>
        <w:tc>
          <w:tcPr>
            <w:tcW w:w="701" w:type="dxa"/>
            <w:vAlign w:val="center"/>
          </w:tcPr>
          <w:p>
            <w:pPr>
              <w:adjustRightInd w:val="0"/>
              <w:snapToGrid w:val="0"/>
              <w:jc w:val="center"/>
              <w:rPr>
                <w:rFonts w:ascii="楷体" w:hAnsi="楷体" w:eastAsia="楷体"/>
                <w:szCs w:val="21"/>
              </w:rPr>
            </w:pPr>
            <w:r>
              <w:rPr>
                <w:rFonts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1-4-2汽车全车网关控制与娱乐系统技术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26</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314</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highlight w:val="none"/>
              </w:rPr>
              <w:t>汽车电气设备构造与维修</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144</w:t>
            </w:r>
          </w:p>
        </w:tc>
        <w:tc>
          <w:tcPr>
            <w:tcW w:w="701" w:type="dxa"/>
            <w:vAlign w:val="center"/>
          </w:tcPr>
          <w:p>
            <w:pPr>
              <w:adjustRightInd w:val="0"/>
              <w:snapToGrid w:val="0"/>
              <w:jc w:val="center"/>
              <w:rPr>
                <w:rFonts w:ascii="楷体" w:hAnsi="楷体" w:eastAsia="楷体"/>
                <w:szCs w:val="21"/>
              </w:rPr>
            </w:pPr>
            <w:r>
              <w:rPr>
                <w:rFonts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1-5-2汽车I/M 检测与排放控制治理技术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16</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80</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汽车检测与诊断技术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44</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1-6-2汽车维修企业运营与项目管理技术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9</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90</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汽车服务企业管理</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44</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1-7-2汽车营销评估与金融保险服务技术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61</w:t>
            </w:r>
          </w:p>
        </w:tc>
        <w:tc>
          <w:tcPr>
            <w:tcW w:w="708" w:type="dxa"/>
            <w:vAlign w:val="center"/>
          </w:tcPr>
          <w:p>
            <w:pPr>
              <w:adjustRightInd w:val="0"/>
              <w:snapToGrid w:val="0"/>
              <w:jc w:val="center"/>
              <w:rPr>
                <w:rFonts w:ascii="楷体" w:hAnsi="楷体" w:eastAsia="楷体"/>
                <w:szCs w:val="21"/>
              </w:rPr>
            </w:pPr>
            <w:r>
              <w:rPr>
                <w:rFonts w:ascii="楷体" w:hAnsi="楷体" w:eastAsia="楷体"/>
                <w:szCs w:val="21"/>
              </w:rPr>
              <w:t>233</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汽车整车与配件营销</w:t>
            </w:r>
          </w:p>
        </w:tc>
        <w:tc>
          <w:tcPr>
            <w:tcW w:w="709" w:type="dxa"/>
            <w:vAlign w:val="center"/>
          </w:tcPr>
          <w:p>
            <w:pPr>
              <w:adjustRightInd w:val="0"/>
              <w:snapToGrid w:val="0"/>
              <w:jc w:val="center"/>
              <w:rPr>
                <w:rFonts w:ascii="楷体" w:hAnsi="楷体" w:eastAsia="楷体"/>
                <w:szCs w:val="21"/>
              </w:rPr>
            </w:pPr>
            <w:r>
              <w:rPr>
                <w:rFonts w:ascii="楷体" w:hAnsi="楷体" w:eastAsia="楷体"/>
                <w:szCs w:val="21"/>
              </w:rPr>
              <w:t>72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1-8-2汽车美容装饰与加装改装服务技术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4</w:t>
            </w:r>
            <w:r>
              <w:rPr>
                <w:rFonts w:ascii="楷体" w:hAnsi="楷体" w:eastAsia="楷体"/>
                <w:szCs w:val="21"/>
              </w:rPr>
              <w:t>1</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12</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汽车美容与装潢</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1-9-2汽车车身漆面养护与涂装喷漆技术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9</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14</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汽车涂装技术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adjustRightInd w:val="0"/>
              <w:snapToGrid w:val="0"/>
              <w:jc w:val="left"/>
              <w:rPr>
                <w:rFonts w:ascii="楷体" w:hAnsi="楷体" w:eastAsia="楷体"/>
                <w:szCs w:val="21"/>
              </w:rPr>
            </w:pPr>
            <w:r>
              <w:rPr>
                <w:rFonts w:hint="eastAsia" w:ascii="楷体" w:hAnsi="楷体" w:eastAsia="楷体"/>
                <w:szCs w:val="21"/>
              </w:rPr>
              <w:t>1-10-2汽车车身钣金修护与车架调校技术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中级</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9</w:t>
            </w:r>
          </w:p>
        </w:tc>
        <w:tc>
          <w:tcPr>
            <w:tcW w:w="708" w:type="dxa"/>
            <w:vAlign w:val="center"/>
          </w:tcPr>
          <w:p>
            <w:pPr>
              <w:adjustRightInd w:val="0"/>
              <w:snapToGrid w:val="0"/>
              <w:jc w:val="center"/>
              <w:rPr>
                <w:rFonts w:ascii="楷体" w:hAnsi="楷体" w:eastAsia="楷体"/>
                <w:szCs w:val="21"/>
              </w:rPr>
            </w:pPr>
            <w:r>
              <w:rPr>
                <w:rFonts w:hint="eastAsia" w:ascii="楷体" w:hAnsi="楷体" w:eastAsia="楷体"/>
                <w:szCs w:val="21"/>
              </w:rPr>
              <w:t>1</w:t>
            </w:r>
            <w:r>
              <w:rPr>
                <w:rFonts w:ascii="楷体" w:hAnsi="楷体" w:eastAsia="楷体"/>
                <w:szCs w:val="21"/>
              </w:rPr>
              <w:t>25</w:t>
            </w:r>
          </w:p>
        </w:tc>
        <w:tc>
          <w:tcPr>
            <w:tcW w:w="3119" w:type="dxa"/>
            <w:vAlign w:val="center"/>
          </w:tcPr>
          <w:p>
            <w:pPr>
              <w:adjustRightInd w:val="0"/>
              <w:snapToGrid w:val="0"/>
              <w:jc w:val="center"/>
              <w:rPr>
                <w:rFonts w:ascii="楷体" w:hAnsi="楷体" w:eastAsia="楷体"/>
                <w:szCs w:val="21"/>
              </w:rPr>
            </w:pPr>
            <w:r>
              <w:rPr>
                <w:rFonts w:hint="eastAsia" w:ascii="楷体" w:hAnsi="楷体" w:eastAsia="楷体"/>
                <w:szCs w:val="21"/>
              </w:rPr>
              <w:t>汽车车身修复技术</w:t>
            </w:r>
          </w:p>
        </w:tc>
        <w:tc>
          <w:tcPr>
            <w:tcW w:w="709" w:type="dxa"/>
            <w:vAlign w:val="center"/>
          </w:tcPr>
          <w:p>
            <w:pPr>
              <w:adjustRightInd w:val="0"/>
              <w:snapToGrid w:val="0"/>
              <w:jc w:val="center"/>
              <w:rPr>
                <w:rFonts w:ascii="楷体" w:hAnsi="楷体" w:eastAsia="楷体"/>
                <w:szCs w:val="21"/>
              </w:rPr>
            </w:pPr>
            <w:r>
              <w:rPr>
                <w:rFonts w:hint="eastAsia" w:ascii="楷体" w:hAnsi="楷体" w:eastAsia="楷体"/>
                <w:szCs w:val="21"/>
              </w:rPr>
              <w:t>7</w:t>
            </w:r>
            <w:r>
              <w:rPr>
                <w:rFonts w:ascii="楷体" w:hAnsi="楷体" w:eastAsia="楷体"/>
                <w:szCs w:val="21"/>
              </w:rPr>
              <w:t>2</w:t>
            </w:r>
          </w:p>
        </w:tc>
        <w:tc>
          <w:tcPr>
            <w:tcW w:w="701" w:type="dxa"/>
            <w:vAlign w:val="center"/>
          </w:tcPr>
          <w:p>
            <w:pPr>
              <w:adjustRightInd w:val="0"/>
              <w:snapToGrid w:val="0"/>
              <w:jc w:val="center"/>
              <w:rPr>
                <w:rFonts w:ascii="楷体" w:hAnsi="楷体" w:eastAsia="楷体"/>
                <w:szCs w:val="21"/>
              </w:rPr>
            </w:pPr>
            <w:r>
              <w:rPr>
                <w:rFonts w:hint="eastAsia" w:ascii="楷体" w:hAnsi="楷体" w:eastAsia="楷体"/>
                <w:szCs w:val="21"/>
              </w:rPr>
              <w:t>4</w:t>
            </w:r>
          </w:p>
        </w:tc>
      </w:tr>
    </w:tbl>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47" w:name="_Toc2020267215"/>
      <w:bookmarkStart w:id="48" w:name="_Toc917474489"/>
      <w:bookmarkStart w:id="49" w:name="_Toc1809760270"/>
      <w:bookmarkStart w:id="50" w:name="_Toc1419837697"/>
      <w:bookmarkStart w:id="51" w:name="_Toc1910550348"/>
      <w:r>
        <w:rPr>
          <w:rFonts w:hint="eastAsia" w:ascii="黑体" w:hAnsi="黑体" w:eastAsia="黑体"/>
          <w:sz w:val="26"/>
          <w:szCs w:val="26"/>
        </w:rPr>
        <w:t>六</w:t>
      </w:r>
      <w:r>
        <w:rPr>
          <w:rFonts w:ascii="黑体" w:hAnsi="黑体" w:eastAsia="黑体"/>
          <w:sz w:val="26"/>
          <w:szCs w:val="26"/>
        </w:rPr>
        <w:t>、</w:t>
      </w:r>
      <w:r>
        <w:rPr>
          <w:rFonts w:hint="eastAsia" w:ascii="黑体" w:hAnsi="黑体" w:eastAsia="黑体"/>
          <w:sz w:val="26"/>
          <w:szCs w:val="26"/>
        </w:rPr>
        <w:t>人才培养模式</w:t>
      </w:r>
      <w:bookmarkEnd w:id="47"/>
      <w:bookmarkEnd w:id="48"/>
      <w:bookmarkEnd w:id="49"/>
      <w:bookmarkEnd w:id="50"/>
      <w:bookmarkEnd w:id="51"/>
    </w:p>
    <w:p>
      <w:pPr>
        <w:adjustRightInd w:val="0"/>
        <w:snapToGrid w:val="0"/>
        <w:spacing w:line="420" w:lineRule="exact"/>
        <w:ind w:firstLine="520" w:firstLineChars="200"/>
        <w:rPr>
          <w:rFonts w:ascii="仿宋" w:hAnsi="仿宋" w:eastAsia="仿宋"/>
          <w:sz w:val="26"/>
          <w:szCs w:val="26"/>
        </w:rPr>
      </w:pPr>
      <w:r>
        <w:rPr>
          <w:rFonts w:hint="eastAsia" w:ascii="仿宋" w:hAnsi="仿宋" w:eastAsia="仿宋"/>
          <w:sz w:val="26"/>
          <w:szCs w:val="26"/>
        </w:rPr>
        <w:t>在学校充分调研的基础上，经过专业建设委员会讨论，基于职业成长规律和学生认知规律，探索并实践了“二轮交替、三级能力”的人才培养模式。</w:t>
      </w:r>
    </w:p>
    <w:p>
      <w:pPr>
        <w:adjustRightInd w:val="0"/>
        <w:snapToGrid w:val="0"/>
        <w:jc w:val="center"/>
        <w:rPr>
          <w:rFonts w:ascii="仿宋" w:hAnsi="仿宋" w:eastAsia="仿宋"/>
          <w:sz w:val="26"/>
          <w:szCs w:val="26"/>
        </w:rPr>
      </w:pPr>
      <w:r>
        <w:rPr>
          <w:rFonts w:hint="eastAsia" w:ascii="宋体" w:hAnsi="宋体" w:eastAsia="宋体" w:cs="宋体"/>
          <w:color w:val="auto"/>
          <w:sz w:val="18"/>
          <w:szCs w:val="18"/>
          <w:lang w:eastAsia="zh-CN"/>
        </w:rPr>
        <w:drawing>
          <wp:inline distT="0" distB="0" distL="114300" distR="114300">
            <wp:extent cx="4664710" cy="2216785"/>
            <wp:effectExtent l="0" t="0" r="2540" b="12065"/>
            <wp:docPr id="3" name="图片 3" descr="5f1316aa8e40552e53c717f560d2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f1316aa8e40552e53c717f560d224f"/>
                    <pic:cNvPicPr>
                      <a:picLocks noChangeAspect="1"/>
                    </pic:cNvPicPr>
                  </pic:nvPicPr>
                  <pic:blipFill>
                    <a:blip r:embed="rId11"/>
                    <a:srcRect l="10417" t="13352" r="8693" b="18324"/>
                    <a:stretch>
                      <a:fillRect/>
                    </a:stretch>
                  </pic:blipFill>
                  <pic:spPr>
                    <a:xfrm>
                      <a:off x="0" y="0"/>
                      <a:ext cx="4664710" cy="2216785"/>
                    </a:xfrm>
                    <a:prstGeom prst="rect">
                      <a:avLst/>
                    </a:prstGeom>
                  </pic:spPr>
                </pic:pic>
              </a:graphicData>
            </a:graphic>
          </wp:inline>
        </w:drawing>
      </w:r>
    </w:p>
    <w:p>
      <w:pPr>
        <w:adjustRightInd w:val="0"/>
        <w:snapToGrid w:val="0"/>
        <w:spacing w:line="420" w:lineRule="exact"/>
        <w:ind w:firstLine="520" w:firstLineChars="200"/>
        <w:rPr>
          <w:rFonts w:hint="eastAsia" w:ascii="仿宋" w:hAnsi="仿宋" w:eastAsia="仿宋"/>
          <w:sz w:val="26"/>
          <w:szCs w:val="26"/>
        </w:rPr>
      </w:pPr>
      <w:r>
        <w:rPr>
          <w:rFonts w:hint="eastAsia" w:ascii="仿宋" w:hAnsi="仿宋" w:eastAsia="仿宋"/>
          <w:sz w:val="26"/>
          <w:szCs w:val="26"/>
        </w:rPr>
        <w:t>第一轮交替：针对本专业汽车机电维修方向，汽车电气维修方向、汽车性能检测方向、汽车维修业务接待和新能源汽车技术五个方向对能力目标培养的要求，第一阶段（第一、二、三学期包括第四学期前1</w:t>
      </w:r>
      <w:r>
        <w:rPr>
          <w:rFonts w:hint="eastAsia" w:ascii="仿宋" w:hAnsi="仿宋" w:eastAsia="仿宋"/>
          <w:sz w:val="26"/>
          <w:szCs w:val="26"/>
          <w:lang w:val="en-US" w:eastAsia="zh-CN"/>
        </w:rPr>
        <w:t>3</w:t>
      </w:r>
      <w:r>
        <w:rPr>
          <w:rFonts w:hint="eastAsia" w:ascii="仿宋" w:hAnsi="仿宋" w:eastAsia="仿宋"/>
          <w:sz w:val="26"/>
          <w:szCs w:val="26"/>
        </w:rPr>
        <w:t>个教学周）在校内完成汽车机电维修方向中汽车结构和工作原理掌握、汽车机电设备维护与修复两级能力，汽车电气维修方向汽车结构和工作原理掌握、汽车机电设备维护与修复两级能力，汽车性能检测方向汽车结构和工作原理掌握、汽车性能检测流程掌握两级能力相关课程的学习任务，新能源汽车技术方向中电动汽车结构和工作原理、新能源汽车维护和检测能力。第二阶段（第四学期的后八个教学周）安排学生到校内外实习基地进行顶岗实习，实施第一轮工学交替，让学生到企业了解汽车快修岗位、汽车性能检测岗位工作流程及汽车维护与保养工作过程，让学生在工作中体验所学知识与生产实际的关系，培养学生的学习兴趣。让学生在工作中掌握汽车检测与修复技能，培养学生解决生产实际问题的能力。</w:t>
      </w:r>
    </w:p>
    <w:p>
      <w:pPr>
        <w:adjustRightInd w:val="0"/>
        <w:snapToGrid w:val="0"/>
        <w:spacing w:line="420" w:lineRule="exact"/>
        <w:ind w:firstLine="520" w:firstLineChars="200"/>
        <w:rPr>
          <w:rFonts w:hint="eastAsia" w:ascii="仿宋" w:hAnsi="仿宋" w:eastAsia="仿宋"/>
          <w:sz w:val="26"/>
          <w:szCs w:val="26"/>
        </w:rPr>
      </w:pPr>
      <w:r>
        <w:rPr>
          <w:rFonts w:hint="eastAsia" w:ascii="仿宋" w:hAnsi="仿宋" w:eastAsia="仿宋"/>
          <w:sz w:val="26"/>
          <w:szCs w:val="26"/>
        </w:rPr>
        <w:t>第二轮交替：针对本专业汽车机电维修方向对学生专业能力的要求，第三阶段（第五学期）在校内学习有关课程的学习任务，第四阶段（第六学期）安排学生到校内外实习基地顶岗实习，实施第二轮工学交替，让学生到企业掌握汽车故障诊断岗位工作流程及汽车故障诊断工作过程、汽车评估工作流程及汽车性能检测工作过程，让学生在工作中掌握汽车故障诊断排除技能、汽车性能检测评价技能，在实践中提高将来工作岗位中所应该具备的能力。</w:t>
      </w:r>
    </w:p>
    <w:p>
      <w:pPr>
        <w:adjustRightInd w:val="0"/>
        <w:snapToGrid w:val="0"/>
        <w:spacing w:line="420" w:lineRule="exact"/>
        <w:ind w:firstLine="520" w:firstLineChars="200"/>
        <w:rPr>
          <w:rFonts w:hint="eastAsia" w:ascii="仿宋" w:hAnsi="仿宋" w:eastAsia="仿宋"/>
          <w:sz w:val="26"/>
          <w:szCs w:val="26"/>
        </w:rPr>
      </w:pPr>
      <w:r>
        <w:rPr>
          <w:rFonts w:hint="eastAsia" w:ascii="仿宋" w:hAnsi="仿宋" w:eastAsia="仿宋"/>
          <w:sz w:val="26"/>
          <w:szCs w:val="26"/>
        </w:rPr>
        <w:t>三级能力：即逐步培养学生的专业基础能力、专业核心能力、综合职业能力三级能力，专业基础能力包括认知汽车结构组成、维修工量具和设备仪器的使用、简单拆装、汽车一般维护保养作业等；专业核心能力包括汽车检测与维修、电路分析、故障诊断与排除等；综合职业能力包括语言文字表达能力、信息技术使用能力、安全文明生产能力、人际交往与团队协作能力、组织管理能力等。</w:t>
      </w: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52" w:name="_Toc1577137776"/>
      <w:bookmarkStart w:id="53" w:name="_Toc1385993603"/>
      <w:bookmarkStart w:id="54" w:name="_Toc601197375"/>
      <w:bookmarkStart w:id="55" w:name="_Toc83998754"/>
      <w:bookmarkStart w:id="56" w:name="_Toc1923431424"/>
      <w:r>
        <w:rPr>
          <w:rFonts w:hint="eastAsia" w:ascii="黑体" w:hAnsi="黑体" w:eastAsia="黑体"/>
          <w:sz w:val="26"/>
          <w:szCs w:val="26"/>
        </w:rPr>
        <w:t>七、课程设置及要求</w:t>
      </w:r>
      <w:bookmarkEnd w:id="52"/>
      <w:bookmarkEnd w:id="53"/>
      <w:bookmarkEnd w:id="54"/>
      <w:bookmarkEnd w:id="55"/>
      <w:bookmarkEnd w:id="56"/>
    </w:p>
    <w:p>
      <w:pPr>
        <w:adjustRightInd w:val="0"/>
        <w:snapToGrid w:val="0"/>
        <w:spacing w:line="420" w:lineRule="exact"/>
        <w:ind w:firstLine="520" w:firstLineChars="200"/>
        <w:rPr>
          <w:rFonts w:ascii="仿宋" w:hAnsi="仿宋" w:eastAsia="仿宋"/>
          <w:kern w:val="0"/>
          <w:sz w:val="26"/>
          <w:szCs w:val="26"/>
        </w:rPr>
      </w:pPr>
      <w:r>
        <w:rPr>
          <w:rFonts w:hint="eastAsia" w:ascii="仿宋" w:hAnsi="仿宋" w:eastAsia="仿宋"/>
          <w:sz w:val="26"/>
          <w:szCs w:val="26"/>
        </w:rPr>
        <w:t>本</w:t>
      </w:r>
      <w:r>
        <w:rPr>
          <w:rFonts w:ascii="仿宋" w:hAnsi="仿宋" w:eastAsia="仿宋"/>
          <w:sz w:val="26"/>
          <w:szCs w:val="26"/>
        </w:rPr>
        <w:t>专业课程设置分为公共基础课、专业</w:t>
      </w:r>
      <w:r>
        <w:rPr>
          <w:rFonts w:hint="eastAsia" w:ascii="仿宋" w:hAnsi="仿宋" w:eastAsia="仿宋"/>
          <w:sz w:val="26"/>
          <w:szCs w:val="26"/>
        </w:rPr>
        <w:t>技能</w:t>
      </w:r>
      <w:r>
        <w:rPr>
          <w:rFonts w:ascii="仿宋" w:hAnsi="仿宋" w:eastAsia="仿宋"/>
          <w:sz w:val="26"/>
          <w:szCs w:val="26"/>
        </w:rPr>
        <w:t>课（包括专业核心课、专业</w:t>
      </w:r>
      <w:r>
        <w:rPr>
          <w:rFonts w:hint="eastAsia" w:ascii="仿宋" w:hAnsi="仿宋" w:eastAsia="仿宋"/>
          <w:sz w:val="26"/>
          <w:szCs w:val="26"/>
        </w:rPr>
        <w:t>拓展</w:t>
      </w:r>
      <w:r>
        <w:rPr>
          <w:rFonts w:ascii="仿宋" w:hAnsi="仿宋" w:eastAsia="仿宋"/>
          <w:sz w:val="26"/>
          <w:szCs w:val="26"/>
        </w:rPr>
        <w:t>课）</w:t>
      </w:r>
      <w:r>
        <w:rPr>
          <w:rFonts w:hint="eastAsia" w:ascii="仿宋" w:hAnsi="仿宋" w:eastAsia="仿宋"/>
          <w:sz w:val="26"/>
          <w:szCs w:val="26"/>
        </w:rPr>
        <w:t>、</w:t>
      </w:r>
      <w:r>
        <w:rPr>
          <w:rFonts w:ascii="仿宋" w:hAnsi="仿宋" w:eastAsia="仿宋"/>
          <w:sz w:val="26"/>
          <w:szCs w:val="26"/>
        </w:rPr>
        <w:t>顶岗实习和选修课四个部分。</w:t>
      </w:r>
      <w:r>
        <w:rPr>
          <w:rFonts w:hint="eastAsia" w:ascii="仿宋" w:hAnsi="仿宋" w:eastAsia="仿宋"/>
          <w:kern w:val="0"/>
          <w:sz w:val="26"/>
          <w:szCs w:val="26"/>
        </w:rPr>
        <w:t>各</w:t>
      </w:r>
      <w:r>
        <w:rPr>
          <w:rFonts w:ascii="仿宋" w:hAnsi="仿宋" w:eastAsia="仿宋"/>
          <w:kern w:val="0"/>
          <w:sz w:val="26"/>
          <w:szCs w:val="26"/>
        </w:rPr>
        <w:t>课程要求如下：</w:t>
      </w:r>
    </w:p>
    <w:p>
      <w:pPr>
        <w:adjustRightInd w:val="0"/>
        <w:snapToGrid w:val="0"/>
        <w:spacing w:line="420" w:lineRule="exact"/>
        <w:ind w:firstLine="520" w:firstLineChars="200"/>
        <w:outlineLvl w:val="1"/>
        <w:rPr>
          <w:rFonts w:ascii="楷体" w:hAnsi="楷体" w:eastAsia="楷体"/>
          <w:bCs/>
          <w:sz w:val="26"/>
          <w:szCs w:val="26"/>
        </w:rPr>
      </w:pPr>
      <w:bookmarkStart w:id="57" w:name="_Toc2055360758"/>
      <w:bookmarkStart w:id="58" w:name="_Toc2112607131"/>
      <w:bookmarkStart w:id="59" w:name="_Toc1193274455"/>
      <w:r>
        <w:rPr>
          <w:rFonts w:hint="eastAsia" w:ascii="楷体" w:hAnsi="楷体" w:eastAsia="楷体"/>
          <w:bCs/>
          <w:sz w:val="26"/>
          <w:szCs w:val="26"/>
        </w:rPr>
        <w:t>（一）公共基础课程</w:t>
      </w:r>
      <w:bookmarkEnd w:id="57"/>
      <w:bookmarkEnd w:id="58"/>
      <w:bookmarkEnd w:id="59"/>
    </w:p>
    <w:tbl>
      <w:tblPr>
        <w:tblStyle w:val="21"/>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67"/>
        <w:gridCol w:w="1701"/>
        <w:gridCol w:w="5291"/>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pStyle w:val="17"/>
              <w:adjustRightInd w:val="0"/>
              <w:spacing w:after="0"/>
              <w:ind w:left="0" w:leftChars="0"/>
              <w:jc w:val="center"/>
              <w:rPr>
                <w:rFonts w:ascii="楷体" w:hAnsi="楷体" w:eastAsia="楷体"/>
                <w:b/>
                <w:kern w:val="0"/>
                <w:sz w:val="21"/>
                <w:szCs w:val="21"/>
              </w:rPr>
            </w:pPr>
            <w:r>
              <w:rPr>
                <w:rFonts w:hint="eastAsia" w:ascii="楷体" w:hAnsi="楷体" w:eastAsia="楷体"/>
                <w:b/>
                <w:kern w:val="0"/>
                <w:sz w:val="21"/>
                <w:szCs w:val="21"/>
              </w:rPr>
              <w:t>序号</w:t>
            </w:r>
          </w:p>
        </w:tc>
        <w:tc>
          <w:tcPr>
            <w:tcW w:w="2268" w:type="dxa"/>
            <w:gridSpan w:val="2"/>
            <w:vAlign w:val="center"/>
          </w:tcPr>
          <w:p>
            <w:pPr>
              <w:pStyle w:val="17"/>
              <w:adjustRightInd w:val="0"/>
              <w:spacing w:after="0"/>
              <w:ind w:left="0" w:leftChars="0"/>
              <w:jc w:val="center"/>
              <w:rPr>
                <w:rFonts w:ascii="楷体" w:hAnsi="楷体" w:eastAsia="楷体"/>
                <w:b/>
                <w:kern w:val="0"/>
                <w:sz w:val="21"/>
                <w:szCs w:val="21"/>
              </w:rPr>
            </w:pPr>
            <w:r>
              <w:rPr>
                <w:rFonts w:hint="eastAsia" w:ascii="楷体" w:hAnsi="楷体" w:eastAsia="楷体"/>
                <w:b/>
                <w:kern w:val="0"/>
                <w:sz w:val="21"/>
                <w:szCs w:val="21"/>
              </w:rPr>
              <w:t>课程</w:t>
            </w:r>
            <w:r>
              <w:rPr>
                <w:rFonts w:ascii="楷体" w:hAnsi="楷体" w:eastAsia="楷体"/>
                <w:b/>
                <w:kern w:val="0"/>
                <w:sz w:val="21"/>
                <w:szCs w:val="21"/>
              </w:rPr>
              <w:t>名称</w:t>
            </w:r>
          </w:p>
        </w:tc>
        <w:tc>
          <w:tcPr>
            <w:tcW w:w="5291" w:type="dxa"/>
            <w:vAlign w:val="center"/>
          </w:tcPr>
          <w:p>
            <w:pPr>
              <w:pStyle w:val="17"/>
              <w:adjustRightInd w:val="0"/>
              <w:spacing w:after="0"/>
              <w:ind w:left="0" w:leftChars="0"/>
              <w:jc w:val="center"/>
              <w:rPr>
                <w:rFonts w:ascii="楷体" w:hAnsi="楷体" w:eastAsia="楷体"/>
                <w:b/>
                <w:kern w:val="0"/>
                <w:sz w:val="21"/>
                <w:szCs w:val="21"/>
              </w:rPr>
            </w:pPr>
            <w:r>
              <w:rPr>
                <w:rFonts w:hint="eastAsia" w:ascii="楷体" w:hAnsi="楷体" w:eastAsia="楷体"/>
                <w:b/>
                <w:kern w:val="0"/>
                <w:sz w:val="21"/>
                <w:szCs w:val="21"/>
              </w:rPr>
              <w:t>主</w:t>
            </w:r>
            <w:r>
              <w:rPr>
                <w:rFonts w:ascii="楷体" w:hAnsi="楷体" w:eastAsia="楷体"/>
                <w:b/>
                <w:kern w:val="0"/>
                <w:sz w:val="21"/>
                <w:szCs w:val="21"/>
              </w:rPr>
              <w:t>要教学内容和要求</w:t>
            </w:r>
          </w:p>
        </w:tc>
        <w:tc>
          <w:tcPr>
            <w:tcW w:w="997" w:type="dxa"/>
            <w:vAlign w:val="center"/>
          </w:tcPr>
          <w:p>
            <w:pPr>
              <w:pStyle w:val="17"/>
              <w:adjustRightInd w:val="0"/>
              <w:spacing w:after="0"/>
              <w:ind w:left="0" w:leftChars="0"/>
              <w:jc w:val="center"/>
              <w:rPr>
                <w:rFonts w:ascii="楷体" w:hAnsi="楷体" w:eastAsia="楷体"/>
                <w:b/>
                <w:kern w:val="0"/>
                <w:sz w:val="21"/>
                <w:szCs w:val="21"/>
              </w:rPr>
            </w:pPr>
            <w:r>
              <w:rPr>
                <w:rFonts w:ascii="楷体" w:hAnsi="楷体" w:eastAsia="楷体"/>
                <w:b/>
                <w:kern w:val="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widowControl/>
              <w:jc w:val="center"/>
              <w:rPr>
                <w:rFonts w:ascii="楷体" w:hAnsi="楷体" w:eastAsia="楷体"/>
                <w:kern w:val="0"/>
                <w:szCs w:val="21"/>
              </w:rPr>
            </w:pPr>
            <w:r>
              <w:rPr>
                <w:rFonts w:hint="eastAsia" w:ascii="楷体" w:hAnsi="楷体" w:eastAsia="楷体"/>
                <w:szCs w:val="21"/>
              </w:rPr>
              <w:t>1</w:t>
            </w:r>
          </w:p>
        </w:tc>
        <w:tc>
          <w:tcPr>
            <w:tcW w:w="567" w:type="dxa"/>
            <w:vMerge w:val="restart"/>
            <w:shd w:val="clear" w:color="auto" w:fill="auto"/>
            <w:vAlign w:val="center"/>
          </w:tcPr>
          <w:p>
            <w:pPr>
              <w:jc w:val="left"/>
              <w:rPr>
                <w:rFonts w:ascii="楷体" w:hAnsi="楷体" w:eastAsia="楷体"/>
                <w:szCs w:val="21"/>
              </w:rPr>
            </w:pPr>
            <w:r>
              <w:rPr>
                <w:rFonts w:hint="eastAsia" w:ascii="楷体" w:hAnsi="楷体" w:eastAsia="楷体"/>
                <w:szCs w:val="21"/>
              </w:rPr>
              <w:t>思想政治</w:t>
            </w:r>
          </w:p>
        </w:tc>
        <w:tc>
          <w:tcPr>
            <w:tcW w:w="1701" w:type="dxa"/>
            <w:shd w:val="clear" w:color="auto" w:fill="auto"/>
            <w:vAlign w:val="center"/>
          </w:tcPr>
          <w:p>
            <w:pPr>
              <w:jc w:val="left"/>
              <w:rPr>
                <w:rFonts w:ascii="楷体" w:hAnsi="楷体" w:eastAsia="楷体"/>
                <w:szCs w:val="21"/>
              </w:rPr>
            </w:pPr>
            <w:r>
              <w:rPr>
                <w:rFonts w:hint="eastAsia" w:ascii="楷体" w:hAnsi="楷体" w:eastAsia="楷体"/>
                <w:szCs w:val="21"/>
              </w:rPr>
              <w:t>职业生涯规划</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等职业学校职业生涯规划课程标准》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ascii="楷体" w:hAnsi="楷体" w:eastAsia="楷体"/>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2</w:t>
            </w:r>
          </w:p>
        </w:tc>
        <w:tc>
          <w:tcPr>
            <w:tcW w:w="567" w:type="dxa"/>
            <w:vMerge w:val="continue"/>
            <w:shd w:val="clear" w:color="auto" w:fill="auto"/>
            <w:vAlign w:val="center"/>
          </w:tcPr>
          <w:p>
            <w:pPr>
              <w:jc w:val="left"/>
              <w:rPr>
                <w:rFonts w:ascii="楷体" w:hAnsi="楷体" w:eastAsia="楷体"/>
                <w:szCs w:val="21"/>
              </w:rPr>
            </w:pPr>
          </w:p>
        </w:tc>
        <w:tc>
          <w:tcPr>
            <w:tcW w:w="1701" w:type="dxa"/>
            <w:shd w:val="clear" w:color="auto" w:fill="auto"/>
            <w:vAlign w:val="center"/>
          </w:tcPr>
          <w:p>
            <w:pPr>
              <w:jc w:val="left"/>
              <w:rPr>
                <w:rFonts w:ascii="楷体" w:hAnsi="楷体" w:eastAsia="楷体"/>
                <w:szCs w:val="21"/>
              </w:rPr>
            </w:pPr>
            <w:r>
              <w:rPr>
                <w:rFonts w:hint="eastAsia" w:ascii="楷体" w:hAnsi="楷体" w:eastAsia="楷体"/>
                <w:szCs w:val="21"/>
              </w:rPr>
              <w:t>职业道德与法律</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职业道德与法律</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3</w:t>
            </w:r>
          </w:p>
        </w:tc>
        <w:tc>
          <w:tcPr>
            <w:tcW w:w="567" w:type="dxa"/>
            <w:vMerge w:val="continue"/>
            <w:shd w:val="clear" w:color="auto" w:fill="auto"/>
            <w:vAlign w:val="center"/>
          </w:tcPr>
          <w:p>
            <w:pPr>
              <w:jc w:val="left"/>
              <w:rPr>
                <w:rFonts w:ascii="楷体" w:hAnsi="楷体" w:eastAsia="楷体"/>
                <w:szCs w:val="21"/>
              </w:rPr>
            </w:pPr>
          </w:p>
        </w:tc>
        <w:tc>
          <w:tcPr>
            <w:tcW w:w="1701" w:type="dxa"/>
            <w:shd w:val="clear" w:color="auto" w:fill="auto"/>
            <w:vAlign w:val="center"/>
          </w:tcPr>
          <w:p>
            <w:pPr>
              <w:jc w:val="left"/>
              <w:rPr>
                <w:rFonts w:ascii="楷体" w:hAnsi="楷体" w:eastAsia="楷体"/>
                <w:szCs w:val="21"/>
              </w:rPr>
            </w:pPr>
            <w:r>
              <w:rPr>
                <w:rFonts w:hint="eastAsia" w:ascii="楷体" w:hAnsi="楷体" w:eastAsia="楷体"/>
                <w:szCs w:val="21"/>
              </w:rPr>
              <w:t>经济政治与社会</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经济政治与社会</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4</w:t>
            </w:r>
          </w:p>
        </w:tc>
        <w:tc>
          <w:tcPr>
            <w:tcW w:w="567" w:type="dxa"/>
            <w:vMerge w:val="continue"/>
            <w:shd w:val="clear" w:color="auto" w:fill="auto"/>
            <w:vAlign w:val="center"/>
          </w:tcPr>
          <w:p>
            <w:pPr>
              <w:jc w:val="left"/>
              <w:rPr>
                <w:rFonts w:ascii="楷体" w:hAnsi="楷体" w:eastAsia="楷体"/>
                <w:szCs w:val="21"/>
              </w:rPr>
            </w:pPr>
          </w:p>
        </w:tc>
        <w:tc>
          <w:tcPr>
            <w:tcW w:w="1701" w:type="dxa"/>
            <w:shd w:val="clear" w:color="auto" w:fill="auto"/>
            <w:vAlign w:val="center"/>
          </w:tcPr>
          <w:p>
            <w:pPr>
              <w:jc w:val="left"/>
              <w:rPr>
                <w:rFonts w:ascii="楷体" w:hAnsi="楷体" w:eastAsia="楷体"/>
                <w:szCs w:val="21"/>
              </w:rPr>
            </w:pPr>
            <w:r>
              <w:rPr>
                <w:rFonts w:hint="eastAsia" w:ascii="楷体" w:hAnsi="楷体" w:eastAsia="楷体"/>
                <w:szCs w:val="21"/>
              </w:rPr>
              <w:t>哲学与人生</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哲学与人生</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5</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语文</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语文</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6</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数学</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数学</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7</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英语</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英语</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8</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历史</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依据《中等职业学校历史课程标准》开设。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7</w:t>
            </w:r>
            <w:r>
              <w:rPr>
                <w:rFonts w:ascii="楷体" w:hAnsi="楷体" w:eastAsia="楷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ascii="楷体" w:hAnsi="楷体" w:eastAsia="楷体"/>
                <w:szCs w:val="21"/>
              </w:rPr>
              <w:t>9</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信息技术</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计算机应用基础</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ascii="楷体" w:hAnsi="楷体" w:eastAsia="楷体"/>
                <w:szCs w:val="21"/>
              </w:rPr>
              <w:t>10</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体育与健康</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体育与健康</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1</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公共艺术</w:t>
            </w:r>
          </w:p>
        </w:tc>
        <w:tc>
          <w:tcPr>
            <w:tcW w:w="5291" w:type="dxa"/>
            <w:shd w:val="clear" w:color="auto" w:fill="auto"/>
            <w:vAlign w:val="center"/>
          </w:tcPr>
          <w:p>
            <w:pPr>
              <w:jc w:val="left"/>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公共艺术</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2</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物理</w:t>
            </w:r>
          </w:p>
        </w:tc>
        <w:tc>
          <w:tcPr>
            <w:tcW w:w="5291" w:type="dxa"/>
            <w:shd w:val="clear" w:color="auto" w:fill="auto"/>
            <w:vAlign w:val="center"/>
          </w:tcPr>
          <w:p>
            <w:pPr>
              <w:jc w:val="left"/>
              <w:textAlignment w:val="center"/>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物理</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3</w:t>
            </w:r>
            <w:r>
              <w:rPr>
                <w:rFonts w:ascii="楷体" w:hAnsi="楷体" w:eastAsia="楷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3</w:t>
            </w:r>
          </w:p>
        </w:tc>
        <w:tc>
          <w:tcPr>
            <w:tcW w:w="2268" w:type="dxa"/>
            <w:gridSpan w:val="2"/>
            <w:shd w:val="clear" w:color="auto" w:fill="auto"/>
            <w:vAlign w:val="center"/>
          </w:tcPr>
          <w:p>
            <w:pPr>
              <w:jc w:val="center"/>
              <w:rPr>
                <w:rFonts w:ascii="楷体" w:hAnsi="楷体" w:eastAsia="楷体"/>
                <w:szCs w:val="21"/>
              </w:rPr>
            </w:pPr>
            <w:r>
              <w:rPr>
                <w:rFonts w:hint="eastAsia" w:ascii="楷体" w:hAnsi="楷体" w:eastAsia="楷体"/>
                <w:szCs w:val="21"/>
              </w:rPr>
              <w:t>化学</w:t>
            </w:r>
          </w:p>
        </w:tc>
        <w:tc>
          <w:tcPr>
            <w:tcW w:w="5291" w:type="dxa"/>
            <w:shd w:val="clear" w:color="auto" w:fill="auto"/>
            <w:vAlign w:val="center"/>
          </w:tcPr>
          <w:p>
            <w:pPr>
              <w:jc w:val="left"/>
              <w:textAlignment w:val="center"/>
              <w:rPr>
                <w:rFonts w:ascii="楷体" w:hAnsi="楷体" w:eastAsia="楷体"/>
                <w:szCs w:val="21"/>
              </w:rPr>
            </w:pPr>
            <w:r>
              <w:rPr>
                <w:rFonts w:hint="eastAsia" w:ascii="楷体" w:hAnsi="楷体" w:eastAsia="楷体"/>
                <w:szCs w:val="21"/>
              </w:rPr>
              <w:t>依据</w:t>
            </w:r>
            <w:r>
              <w:rPr>
                <w:rFonts w:ascii="楷体" w:hAnsi="楷体" w:eastAsia="楷体"/>
                <w:szCs w:val="21"/>
              </w:rPr>
              <w:t>《</w:t>
            </w:r>
            <w:r>
              <w:rPr>
                <w:rFonts w:hint="eastAsia" w:ascii="楷体" w:hAnsi="楷体" w:eastAsia="楷体"/>
                <w:szCs w:val="21"/>
              </w:rPr>
              <w:t>中</w:t>
            </w:r>
            <w:r>
              <w:rPr>
                <w:rFonts w:ascii="楷体" w:hAnsi="楷体" w:eastAsia="楷体"/>
                <w:szCs w:val="21"/>
              </w:rPr>
              <w:t>等职业学校</w:t>
            </w:r>
            <w:r>
              <w:rPr>
                <w:rFonts w:hint="eastAsia" w:ascii="楷体" w:hAnsi="楷体" w:eastAsia="楷体"/>
                <w:szCs w:val="21"/>
              </w:rPr>
              <w:t>化学</w:t>
            </w:r>
            <w:r>
              <w:rPr>
                <w:rFonts w:ascii="楷体" w:hAnsi="楷体" w:eastAsia="楷体"/>
                <w:szCs w:val="21"/>
              </w:rPr>
              <w:t>课程标准》</w:t>
            </w:r>
            <w:r>
              <w:rPr>
                <w:rFonts w:hint="eastAsia" w:ascii="楷体" w:hAnsi="楷体" w:eastAsia="楷体"/>
                <w:szCs w:val="21"/>
              </w:rPr>
              <w:t>开设。</w:t>
            </w:r>
          </w:p>
        </w:tc>
        <w:tc>
          <w:tcPr>
            <w:tcW w:w="997" w:type="dxa"/>
            <w:vAlign w:val="center"/>
          </w:tcPr>
          <w:p>
            <w:pPr>
              <w:pStyle w:val="17"/>
              <w:adjustRightInd w:val="0"/>
              <w:spacing w:after="0"/>
              <w:ind w:left="0" w:leftChars="0"/>
              <w:jc w:val="center"/>
              <w:rPr>
                <w:rFonts w:ascii="楷体" w:hAnsi="楷体" w:eastAsia="楷体"/>
                <w:kern w:val="0"/>
                <w:sz w:val="21"/>
                <w:szCs w:val="21"/>
              </w:rPr>
            </w:pPr>
            <w:r>
              <w:rPr>
                <w:rFonts w:hint="eastAsia" w:ascii="楷体" w:hAnsi="楷体" w:eastAsia="楷体"/>
                <w:kern w:val="0"/>
                <w:sz w:val="21"/>
                <w:szCs w:val="21"/>
              </w:rPr>
              <w:t>3</w:t>
            </w:r>
            <w:r>
              <w:rPr>
                <w:rFonts w:ascii="楷体" w:hAnsi="楷体" w:eastAsia="楷体"/>
                <w:kern w:val="0"/>
                <w:sz w:val="21"/>
                <w:szCs w:val="21"/>
              </w:rPr>
              <w:t>6</w:t>
            </w:r>
          </w:p>
        </w:tc>
      </w:tr>
    </w:tbl>
    <w:p>
      <w:pPr>
        <w:pStyle w:val="17"/>
        <w:adjustRightInd w:val="0"/>
        <w:snapToGrid w:val="0"/>
        <w:spacing w:after="0"/>
        <w:ind w:left="0" w:leftChars="0" w:firstLine="520" w:firstLineChars="200"/>
        <w:outlineLvl w:val="1"/>
        <w:rPr>
          <w:rFonts w:ascii="楷体" w:hAnsi="楷体" w:eastAsia="楷体"/>
          <w:bCs/>
          <w:kern w:val="0"/>
          <w:sz w:val="26"/>
          <w:szCs w:val="26"/>
        </w:rPr>
      </w:pPr>
      <w:bookmarkStart w:id="60" w:name="_Toc2033765474"/>
      <w:bookmarkStart w:id="61" w:name="_Toc1454194155"/>
      <w:bookmarkStart w:id="62" w:name="_Toc1239414398"/>
      <w:r>
        <w:rPr>
          <w:rFonts w:hint="eastAsia" w:ascii="楷体" w:hAnsi="楷体" w:eastAsia="楷体"/>
          <w:bCs/>
          <w:kern w:val="0"/>
          <w:sz w:val="26"/>
          <w:szCs w:val="26"/>
        </w:rPr>
        <w:t>（二）专业核心课程</w:t>
      </w:r>
      <w:bookmarkEnd w:id="60"/>
      <w:bookmarkEnd w:id="61"/>
      <w:bookmarkEnd w:id="62"/>
    </w:p>
    <w:tbl>
      <w:tblPr>
        <w:tblStyle w:val="2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184"/>
        <w:gridCol w:w="64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b/>
                <w:szCs w:val="21"/>
              </w:rPr>
            </w:pPr>
            <w:r>
              <w:rPr>
                <w:rFonts w:hint="eastAsia" w:ascii="楷体" w:hAnsi="楷体" w:eastAsia="楷体"/>
                <w:b/>
                <w:szCs w:val="21"/>
              </w:rPr>
              <w:t>序号</w:t>
            </w:r>
          </w:p>
        </w:tc>
        <w:tc>
          <w:tcPr>
            <w:tcW w:w="118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400" w:type="dxa"/>
            <w:vAlign w:val="center"/>
          </w:tcPr>
          <w:p>
            <w:pPr>
              <w:jc w:val="center"/>
              <w:rPr>
                <w:rFonts w:ascii="楷体" w:hAnsi="楷体" w:eastAsia="楷体"/>
                <w:b/>
                <w:szCs w:val="21"/>
              </w:rPr>
            </w:pPr>
            <w:r>
              <w:rPr>
                <w:rFonts w:hint="eastAsia" w:ascii="楷体" w:hAnsi="楷体" w:eastAsia="楷体"/>
                <w:b/>
                <w:szCs w:val="21"/>
              </w:rPr>
              <w:t>主</w:t>
            </w:r>
            <w:r>
              <w:rPr>
                <w:rFonts w:ascii="楷体" w:hAnsi="楷体" w:eastAsia="楷体"/>
                <w:b/>
                <w:szCs w:val="21"/>
              </w:rPr>
              <w:t>要教学内容和要求</w:t>
            </w:r>
          </w:p>
        </w:tc>
        <w:tc>
          <w:tcPr>
            <w:tcW w:w="982" w:type="dxa"/>
            <w:vAlign w:val="center"/>
          </w:tcPr>
          <w:p>
            <w:pPr>
              <w:jc w:val="center"/>
              <w:rPr>
                <w:rFonts w:ascii="楷体" w:hAnsi="楷体" w:eastAsia="楷体"/>
                <w:b/>
                <w:szCs w:val="21"/>
              </w:rPr>
            </w:pPr>
            <w:r>
              <w:rPr>
                <w:rFonts w:ascii="楷体" w:hAnsi="楷体" w:eastAsia="楷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1</w:t>
            </w:r>
          </w:p>
        </w:tc>
        <w:tc>
          <w:tcPr>
            <w:tcW w:w="1184" w:type="dxa"/>
            <w:vAlign w:val="center"/>
          </w:tcPr>
          <w:p>
            <w:pPr>
              <w:jc w:val="center"/>
              <w:rPr>
                <w:rFonts w:ascii="楷体" w:hAnsi="楷体" w:eastAsia="楷体"/>
                <w:szCs w:val="21"/>
              </w:rPr>
            </w:pPr>
            <w:r>
              <w:rPr>
                <w:rFonts w:hint="eastAsia" w:ascii="楷体" w:hAnsi="楷体" w:eastAsia="楷体"/>
                <w:szCs w:val="21"/>
              </w:rPr>
              <w:t>汽车文化</w:t>
            </w:r>
          </w:p>
        </w:tc>
        <w:tc>
          <w:tcPr>
            <w:tcW w:w="6400" w:type="dxa"/>
            <w:vAlign w:val="center"/>
          </w:tcPr>
          <w:p>
            <w:pPr>
              <w:jc w:val="left"/>
              <w:rPr>
                <w:rFonts w:ascii="楷体" w:hAnsi="楷体" w:eastAsia="楷体"/>
                <w:szCs w:val="21"/>
              </w:rPr>
            </w:pPr>
            <w:r>
              <w:rPr>
                <w:rFonts w:hint="eastAsia" w:ascii="楷体" w:hAnsi="楷体" w:eastAsia="楷体"/>
                <w:szCs w:val="21"/>
              </w:rPr>
              <w:t>主要教学内容：汽车史话、汽车名人、汽车公司与商标、汽车外形与色彩、汽车运动、未来汽车。</w:t>
            </w:r>
          </w:p>
          <w:p>
            <w:pPr>
              <w:jc w:val="left"/>
              <w:rPr>
                <w:rFonts w:ascii="楷体" w:hAnsi="楷体" w:eastAsia="楷体"/>
                <w:szCs w:val="21"/>
              </w:rPr>
            </w:pPr>
            <w:r>
              <w:rPr>
                <w:rFonts w:hint="eastAsia" w:ascii="楷体" w:hAnsi="楷体" w:eastAsia="楷体"/>
                <w:szCs w:val="21"/>
              </w:rPr>
              <w:t>主要教学要求：通过本课程的学习，使学生了解汽车的发展历程和未来发展趋势，培养学生对汽车的兴趣和爱好，提高学生对汽车的鉴赏能力，让学生掌握汽车制造厂商及车型的系统知识。</w:t>
            </w:r>
          </w:p>
        </w:tc>
        <w:tc>
          <w:tcPr>
            <w:tcW w:w="982" w:type="dxa"/>
            <w:vAlign w:val="center"/>
          </w:tcPr>
          <w:p>
            <w:pPr>
              <w:jc w:val="center"/>
              <w:rPr>
                <w:rFonts w:ascii="楷体" w:hAnsi="楷体" w:eastAsia="楷体"/>
                <w:szCs w:val="21"/>
              </w:rPr>
            </w:pPr>
            <w:r>
              <w:rPr>
                <w:rFonts w:hint="eastAsia" w:ascii="楷体" w:hAnsi="楷体" w:eastAsia="楷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2</w:t>
            </w:r>
          </w:p>
        </w:tc>
        <w:tc>
          <w:tcPr>
            <w:tcW w:w="1184" w:type="dxa"/>
            <w:vAlign w:val="center"/>
          </w:tcPr>
          <w:p>
            <w:pPr>
              <w:jc w:val="center"/>
              <w:rPr>
                <w:rFonts w:ascii="楷体" w:hAnsi="楷体" w:eastAsia="楷体"/>
                <w:szCs w:val="21"/>
              </w:rPr>
            </w:pPr>
            <w:r>
              <w:rPr>
                <w:rFonts w:hint="eastAsia" w:ascii="楷体" w:hAnsi="楷体" w:eastAsia="楷体"/>
                <w:szCs w:val="21"/>
              </w:rPr>
              <w:t>汽车机械基础</w:t>
            </w:r>
          </w:p>
        </w:tc>
        <w:tc>
          <w:tcPr>
            <w:tcW w:w="6400" w:type="dxa"/>
            <w:vAlign w:val="center"/>
          </w:tcPr>
          <w:p>
            <w:pPr>
              <w:jc w:val="left"/>
              <w:rPr>
                <w:rFonts w:ascii="楷体" w:hAnsi="楷体" w:eastAsia="楷体"/>
                <w:szCs w:val="21"/>
              </w:rPr>
            </w:pPr>
            <w:r>
              <w:rPr>
                <w:rFonts w:hint="eastAsia" w:ascii="楷体" w:hAnsi="楷体" w:eastAsia="楷体"/>
                <w:szCs w:val="21"/>
              </w:rPr>
              <w:t>主要教学内容：制图基本知识，投影作图的基本原理及法则，绘制机械图的规则和方法；汽车常用机构、机械传动和液压、</w:t>
            </w:r>
            <w:r>
              <w:rPr>
                <w:rFonts w:hint="eastAsia" w:ascii="楷体" w:hAnsi="楷体" w:eastAsia="楷体"/>
                <w:szCs w:val="21"/>
                <w:lang w:val="en-US" w:eastAsia="zh-CN"/>
              </w:rPr>
              <w:t>起</w:t>
            </w:r>
            <w:r>
              <w:rPr>
                <w:rFonts w:hint="eastAsia" w:ascii="楷体" w:hAnsi="楷体" w:eastAsia="楷体"/>
                <w:szCs w:val="21"/>
              </w:rPr>
              <w:t>动系统的组成与工作原理；汽车常用连接件的选用与装配；通用机械零件的结构标准、工作原理、特点与应用。</w:t>
            </w:r>
          </w:p>
          <w:p>
            <w:pPr>
              <w:jc w:val="left"/>
              <w:rPr>
                <w:rFonts w:ascii="楷体" w:hAnsi="楷体" w:eastAsia="楷体"/>
                <w:szCs w:val="21"/>
              </w:rPr>
            </w:pPr>
            <w:r>
              <w:rPr>
                <w:rFonts w:hint="eastAsia" w:ascii="楷体" w:hAnsi="楷体" w:eastAsia="楷体"/>
                <w:szCs w:val="21"/>
              </w:rPr>
              <w:t>主要教学要求：通过本课程的学习，使学生具备一定的空间想象和思维能力，能正确阅读中等复杂程度的零件图，能绘制简单的零件图；了解机械机构的组成；熟悉机械传动和液压、</w:t>
            </w:r>
            <w:r>
              <w:rPr>
                <w:rFonts w:hint="eastAsia" w:ascii="楷体" w:hAnsi="楷体" w:eastAsia="楷体"/>
                <w:szCs w:val="21"/>
                <w:lang w:val="en-US" w:eastAsia="zh-CN"/>
              </w:rPr>
              <w:t>起</w:t>
            </w:r>
            <w:r>
              <w:rPr>
                <w:rFonts w:hint="eastAsia" w:ascii="楷体" w:hAnsi="楷体" w:eastAsia="楷体"/>
                <w:szCs w:val="21"/>
              </w:rPr>
              <w:t>动系统的组成和工作原理；具有分析一般机械功能和动作的能力。</w:t>
            </w:r>
          </w:p>
        </w:tc>
        <w:tc>
          <w:tcPr>
            <w:tcW w:w="982" w:type="dxa"/>
            <w:vAlign w:val="center"/>
          </w:tcPr>
          <w:p>
            <w:pPr>
              <w:jc w:val="center"/>
              <w:rPr>
                <w:rFonts w:ascii="楷体" w:hAnsi="楷体" w:eastAsia="楷体"/>
                <w:szCs w:val="21"/>
              </w:rPr>
            </w:pPr>
            <w:r>
              <w:rPr>
                <w:rFonts w:hint="eastAsia" w:ascii="楷体" w:hAnsi="楷体" w:eastAsia="楷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3</w:t>
            </w:r>
          </w:p>
        </w:tc>
        <w:tc>
          <w:tcPr>
            <w:tcW w:w="1184" w:type="dxa"/>
            <w:vAlign w:val="center"/>
          </w:tcPr>
          <w:p>
            <w:pPr>
              <w:jc w:val="center"/>
              <w:rPr>
                <w:rFonts w:ascii="楷体" w:hAnsi="楷体" w:eastAsia="楷体"/>
                <w:szCs w:val="21"/>
              </w:rPr>
            </w:pPr>
            <w:r>
              <w:rPr>
                <w:rFonts w:hint="eastAsia" w:ascii="楷体" w:hAnsi="楷体" w:eastAsia="楷体"/>
                <w:szCs w:val="21"/>
              </w:rPr>
              <w:t>汽车电工电子技术</w:t>
            </w:r>
          </w:p>
        </w:tc>
        <w:tc>
          <w:tcPr>
            <w:tcW w:w="6400" w:type="dxa"/>
            <w:vAlign w:val="center"/>
          </w:tcPr>
          <w:p>
            <w:pPr>
              <w:jc w:val="left"/>
              <w:rPr>
                <w:rFonts w:ascii="楷体" w:hAnsi="楷体" w:eastAsia="楷体"/>
                <w:szCs w:val="21"/>
              </w:rPr>
            </w:pPr>
            <w:r>
              <w:rPr>
                <w:rFonts w:hint="eastAsia" w:ascii="楷体" w:hAnsi="楷体" w:eastAsia="楷体"/>
                <w:szCs w:val="21"/>
              </w:rPr>
              <w:t>要教学内容：直流电路、正弦三相交流电路、磁路与变压器、直流电动机的基本原理；常用电子元件、基本运算放大器、整流与滤波电路、直流稳压电源、触发器与时序逻辑电路；传感器、执行器与控制器的结构与工作原理。</w:t>
            </w:r>
          </w:p>
          <w:p>
            <w:pPr>
              <w:jc w:val="left"/>
              <w:rPr>
                <w:rFonts w:ascii="楷体" w:hAnsi="楷体" w:eastAsia="楷体"/>
                <w:szCs w:val="21"/>
              </w:rPr>
            </w:pPr>
            <w:r>
              <w:rPr>
                <w:rFonts w:hint="eastAsia" w:ascii="楷体" w:hAnsi="楷体" w:eastAsia="楷体"/>
                <w:szCs w:val="21"/>
              </w:rPr>
              <w:t>主要教学要求：通过本课程的学习，使学生掌握电工、电子学基础知识，能够读懂并分析基本电路图；掌握汽车电子控制基础知识，掌握万用表等简单仪器、仪表的使用。</w:t>
            </w:r>
          </w:p>
        </w:tc>
        <w:tc>
          <w:tcPr>
            <w:tcW w:w="982" w:type="dxa"/>
            <w:vAlign w:val="center"/>
          </w:tcPr>
          <w:p>
            <w:pPr>
              <w:jc w:val="center"/>
              <w:rPr>
                <w:rFonts w:ascii="楷体" w:hAnsi="楷体" w:eastAsia="楷体"/>
                <w:szCs w:val="21"/>
              </w:rPr>
            </w:pPr>
            <w:r>
              <w:rPr>
                <w:rFonts w:hint="eastAsia" w:ascii="楷体" w:hAnsi="楷体" w:eastAsia="楷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4</w:t>
            </w:r>
          </w:p>
        </w:tc>
        <w:tc>
          <w:tcPr>
            <w:tcW w:w="1184" w:type="dxa"/>
            <w:vAlign w:val="center"/>
          </w:tcPr>
          <w:p>
            <w:pPr>
              <w:jc w:val="center"/>
              <w:rPr>
                <w:rFonts w:ascii="楷体" w:hAnsi="楷体" w:eastAsia="楷体"/>
                <w:szCs w:val="21"/>
              </w:rPr>
            </w:pPr>
            <w:r>
              <w:rPr>
                <w:rFonts w:hint="eastAsia" w:ascii="楷体" w:hAnsi="楷体" w:eastAsia="楷体"/>
                <w:szCs w:val="21"/>
              </w:rPr>
              <w:t>汽车识图</w:t>
            </w:r>
          </w:p>
        </w:tc>
        <w:tc>
          <w:tcPr>
            <w:tcW w:w="6400" w:type="dxa"/>
            <w:vAlign w:val="center"/>
          </w:tcPr>
          <w:p>
            <w:pPr>
              <w:jc w:val="left"/>
              <w:rPr>
                <w:rFonts w:ascii="楷体" w:hAnsi="楷体" w:eastAsia="楷体"/>
                <w:szCs w:val="21"/>
              </w:rPr>
            </w:pPr>
            <w:r>
              <w:rPr>
                <w:rFonts w:hint="eastAsia" w:ascii="楷体" w:hAnsi="楷体" w:eastAsia="楷体"/>
                <w:szCs w:val="21"/>
              </w:rPr>
              <w:t xml:space="preserve">主要教学内容：识图基础知识，主要研究运用正投影基本原理，绘制和识读汽车机械零件工程图样的课程。      </w:t>
            </w:r>
          </w:p>
          <w:p>
            <w:pPr>
              <w:jc w:val="left"/>
              <w:rPr>
                <w:rFonts w:ascii="楷体" w:hAnsi="楷体" w:eastAsia="楷体"/>
                <w:szCs w:val="21"/>
              </w:rPr>
            </w:pPr>
            <w:r>
              <w:rPr>
                <w:rFonts w:hint="eastAsia" w:ascii="楷体" w:hAnsi="楷体" w:eastAsia="楷体"/>
                <w:szCs w:val="21"/>
              </w:rPr>
              <w:t>主要教学要求：培养学生看图、绘图和空间想象能力，以满足后续的专业课学习及今后从事工程技术工作的需要。</w:t>
            </w:r>
          </w:p>
        </w:tc>
        <w:tc>
          <w:tcPr>
            <w:tcW w:w="982" w:type="dxa"/>
            <w:vAlign w:val="center"/>
          </w:tcPr>
          <w:p>
            <w:pPr>
              <w:jc w:val="center"/>
              <w:rPr>
                <w:rFonts w:ascii="楷体" w:hAnsi="楷体" w:eastAsia="楷体"/>
                <w:szCs w:val="21"/>
              </w:rPr>
            </w:pPr>
            <w:r>
              <w:rPr>
                <w:rFonts w:hint="eastAsia" w:ascii="楷体" w:hAnsi="楷体" w:eastAsia="楷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5</w:t>
            </w:r>
          </w:p>
        </w:tc>
        <w:tc>
          <w:tcPr>
            <w:tcW w:w="1184" w:type="dxa"/>
            <w:vAlign w:val="center"/>
          </w:tcPr>
          <w:p>
            <w:pPr>
              <w:jc w:val="center"/>
              <w:rPr>
                <w:rFonts w:ascii="楷体" w:hAnsi="楷体" w:eastAsia="楷体"/>
                <w:szCs w:val="21"/>
              </w:rPr>
            </w:pPr>
            <w:r>
              <w:rPr>
                <w:rFonts w:hint="eastAsia" w:ascii="楷体" w:hAnsi="楷体" w:eastAsia="楷体"/>
                <w:szCs w:val="21"/>
              </w:rPr>
              <w:t>汽车发动机构造与维修</w:t>
            </w:r>
          </w:p>
        </w:tc>
        <w:tc>
          <w:tcPr>
            <w:tcW w:w="6400" w:type="dxa"/>
            <w:vAlign w:val="center"/>
          </w:tcPr>
          <w:p>
            <w:pPr>
              <w:jc w:val="left"/>
              <w:rPr>
                <w:rFonts w:ascii="楷体" w:hAnsi="楷体" w:eastAsia="楷体"/>
                <w:szCs w:val="21"/>
              </w:rPr>
            </w:pPr>
            <w:r>
              <w:rPr>
                <w:rFonts w:hint="eastAsia" w:ascii="楷体" w:hAnsi="楷体" w:eastAsia="楷体"/>
                <w:szCs w:val="21"/>
              </w:rPr>
              <w:t>主要教学内容：汽车发动机曲柄连杆机构、配气机构、汽油机燃油供给系统、柴油机燃油供给系统、进排气系统、点火系统、起动系统、冷却系统、润滑系统的结构、原理；汽车发动机机械故障诊断与维修。</w:t>
            </w:r>
          </w:p>
          <w:p>
            <w:pPr>
              <w:jc w:val="left"/>
              <w:rPr>
                <w:rFonts w:ascii="楷体" w:hAnsi="楷体" w:eastAsia="楷体"/>
                <w:szCs w:val="21"/>
              </w:rPr>
            </w:pPr>
            <w:r>
              <w:rPr>
                <w:rFonts w:hint="eastAsia" w:ascii="楷体" w:hAnsi="楷体" w:eastAsia="楷体"/>
                <w:szCs w:val="21"/>
              </w:rPr>
              <w:t>主要教学要求：通过本课程的学习，使学生掌握汽车发动机各机构与系统、总成与部件的功用、结构与工作原理，具备汽车发动机机械故障诊断与维修的基本能力。</w:t>
            </w:r>
          </w:p>
        </w:tc>
        <w:tc>
          <w:tcPr>
            <w:tcW w:w="982" w:type="dxa"/>
            <w:vAlign w:val="center"/>
          </w:tcPr>
          <w:p>
            <w:pPr>
              <w:jc w:val="center"/>
              <w:rPr>
                <w:rFonts w:ascii="楷体" w:hAnsi="楷体" w:eastAsia="楷体"/>
                <w:szCs w:val="21"/>
              </w:rPr>
            </w:pPr>
            <w:r>
              <w:rPr>
                <w:rFonts w:hint="eastAsia" w:ascii="楷体" w:hAnsi="楷体" w:eastAsia="楷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6</w:t>
            </w:r>
          </w:p>
        </w:tc>
        <w:tc>
          <w:tcPr>
            <w:tcW w:w="1184" w:type="dxa"/>
            <w:vAlign w:val="center"/>
          </w:tcPr>
          <w:p>
            <w:pPr>
              <w:jc w:val="center"/>
              <w:rPr>
                <w:rFonts w:ascii="楷体" w:hAnsi="楷体" w:eastAsia="楷体"/>
                <w:szCs w:val="21"/>
              </w:rPr>
            </w:pPr>
            <w:r>
              <w:rPr>
                <w:rFonts w:hint="eastAsia" w:ascii="楷体" w:hAnsi="楷体" w:eastAsia="楷体"/>
                <w:szCs w:val="21"/>
              </w:rPr>
              <w:t>汽车底盘构造与维修</w:t>
            </w:r>
          </w:p>
        </w:tc>
        <w:tc>
          <w:tcPr>
            <w:tcW w:w="6400" w:type="dxa"/>
            <w:vAlign w:val="center"/>
          </w:tcPr>
          <w:p>
            <w:pPr>
              <w:jc w:val="left"/>
              <w:rPr>
                <w:rFonts w:ascii="楷体" w:hAnsi="楷体" w:eastAsia="楷体"/>
                <w:szCs w:val="21"/>
              </w:rPr>
            </w:pPr>
            <w:r>
              <w:rPr>
                <w:rFonts w:hint="eastAsia" w:ascii="楷体" w:hAnsi="楷体" w:eastAsia="楷体"/>
                <w:szCs w:val="21"/>
              </w:rPr>
              <w:t>主要教学内容：汽车底盘传动系统、行驶系统、转向系统、制动系统的结构、原理；汽车底盘机械故障诊断与维修。</w:t>
            </w:r>
          </w:p>
          <w:p>
            <w:pPr>
              <w:jc w:val="left"/>
              <w:rPr>
                <w:rFonts w:ascii="楷体" w:hAnsi="楷体" w:eastAsia="楷体"/>
                <w:szCs w:val="21"/>
              </w:rPr>
            </w:pPr>
            <w:r>
              <w:rPr>
                <w:rFonts w:hint="eastAsia" w:ascii="楷体" w:hAnsi="楷体" w:eastAsia="楷体"/>
                <w:szCs w:val="21"/>
              </w:rPr>
              <w:t>主要教学要求：通过本课程的学习，使学生掌握汽车底盘各系统、总成和部件的功用、结构与工作原理，具备汽车底盘机械故障诊断与维修的能力。</w:t>
            </w:r>
          </w:p>
        </w:tc>
        <w:tc>
          <w:tcPr>
            <w:tcW w:w="982" w:type="dxa"/>
            <w:vAlign w:val="center"/>
          </w:tcPr>
          <w:p>
            <w:pPr>
              <w:jc w:val="center"/>
              <w:rPr>
                <w:rFonts w:ascii="楷体" w:hAnsi="楷体" w:eastAsia="楷体"/>
                <w:szCs w:val="21"/>
              </w:rPr>
            </w:pPr>
            <w:r>
              <w:rPr>
                <w:rFonts w:hint="eastAsia" w:ascii="楷体" w:hAnsi="楷体" w:eastAsia="楷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7</w:t>
            </w:r>
          </w:p>
        </w:tc>
        <w:tc>
          <w:tcPr>
            <w:tcW w:w="1184" w:type="dxa"/>
            <w:vAlign w:val="center"/>
          </w:tcPr>
          <w:p>
            <w:pPr>
              <w:jc w:val="center"/>
              <w:rPr>
                <w:rFonts w:ascii="楷体" w:hAnsi="楷体" w:eastAsia="楷体"/>
                <w:szCs w:val="21"/>
              </w:rPr>
            </w:pPr>
            <w:r>
              <w:rPr>
                <w:rFonts w:hint="eastAsia" w:ascii="楷体" w:hAnsi="楷体" w:eastAsia="楷体"/>
                <w:szCs w:val="21"/>
              </w:rPr>
              <w:t>汽车发动机电控系统</w:t>
            </w:r>
            <w:r>
              <w:rPr>
                <w:rFonts w:hint="default" w:ascii="楷体" w:hAnsi="楷体" w:eastAsia="楷体"/>
                <w:szCs w:val="21"/>
              </w:rPr>
              <w:t>检修</w:t>
            </w:r>
          </w:p>
        </w:tc>
        <w:tc>
          <w:tcPr>
            <w:tcW w:w="6400" w:type="dxa"/>
            <w:vAlign w:val="center"/>
          </w:tcPr>
          <w:p>
            <w:pPr>
              <w:jc w:val="left"/>
              <w:rPr>
                <w:rFonts w:ascii="楷体" w:hAnsi="楷体" w:eastAsia="楷体"/>
                <w:szCs w:val="21"/>
              </w:rPr>
            </w:pPr>
            <w:r>
              <w:rPr>
                <w:rFonts w:hint="default" w:ascii="楷体" w:hAnsi="楷体" w:eastAsia="楷体"/>
                <w:szCs w:val="21"/>
              </w:rPr>
              <w:t>主</w:t>
            </w:r>
            <w:r>
              <w:rPr>
                <w:rFonts w:hint="eastAsia" w:ascii="楷体" w:hAnsi="楷体" w:eastAsia="楷体"/>
                <w:szCs w:val="21"/>
              </w:rPr>
              <w:t>要教学内容：</w:t>
            </w:r>
            <w:r>
              <w:rPr>
                <w:rFonts w:hint="eastAsia" w:ascii="楷体" w:hAnsi="楷体" w:eastAsia="楷体"/>
                <w:szCs w:val="21"/>
                <w:lang w:val="en-US" w:eastAsia="zh-CN"/>
              </w:rPr>
              <w:t>发动机电控系统检修认识；发动机起动困难故障检修；发动机怠速故障检修；发动机加速不良故障检修；发动机无法起动故障检修；发动机辅助控制系统的检修。</w:t>
            </w:r>
            <w:bookmarkStart w:id="132" w:name="_GoBack"/>
            <w:bookmarkEnd w:id="132"/>
          </w:p>
          <w:p>
            <w:pPr>
              <w:jc w:val="left"/>
              <w:rPr>
                <w:rFonts w:ascii="楷体" w:hAnsi="楷体" w:eastAsia="楷体"/>
                <w:szCs w:val="21"/>
              </w:rPr>
            </w:pPr>
            <w:r>
              <w:rPr>
                <w:rFonts w:hint="eastAsia" w:ascii="楷体" w:hAnsi="楷体" w:eastAsia="楷体"/>
                <w:szCs w:val="21"/>
              </w:rPr>
              <w:t>主要教学要求：</w:t>
            </w:r>
            <w:r>
              <w:rPr>
                <w:rFonts w:hint="default" w:ascii="楷体" w:hAnsi="楷体" w:eastAsia="楷体"/>
                <w:szCs w:val="21"/>
              </w:rPr>
              <w:t>能够掌握汽车发动机电控系统的原理和应用，能够对汽车发动机电控系统常见故障进行检测与维修，培养学生对汽车电控系统实际问题进行分析和解决的岗位职业能力，促使学生养成良好的职业素养，为学生从事汽车维修相关岗位的工作打下坚实基础。</w:t>
            </w:r>
          </w:p>
        </w:tc>
        <w:tc>
          <w:tcPr>
            <w:tcW w:w="982" w:type="dxa"/>
            <w:vAlign w:val="center"/>
          </w:tcPr>
          <w:p>
            <w:pPr>
              <w:jc w:val="center"/>
              <w:rPr>
                <w:rFonts w:ascii="楷体" w:hAnsi="楷体" w:eastAsia="楷体"/>
                <w:szCs w:val="21"/>
              </w:rPr>
            </w:pPr>
            <w:r>
              <w:rPr>
                <w:rFonts w:ascii="楷体" w:hAnsi="楷体" w:eastAsia="楷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8</w:t>
            </w:r>
          </w:p>
        </w:tc>
        <w:tc>
          <w:tcPr>
            <w:tcW w:w="1184" w:type="dxa"/>
            <w:vAlign w:val="center"/>
          </w:tcPr>
          <w:p>
            <w:pPr>
              <w:jc w:val="center"/>
              <w:rPr>
                <w:rFonts w:ascii="楷体" w:hAnsi="楷体" w:eastAsia="楷体"/>
                <w:szCs w:val="21"/>
              </w:rPr>
            </w:pPr>
            <w:r>
              <w:rPr>
                <w:rFonts w:hint="eastAsia" w:ascii="楷体" w:hAnsi="楷体" w:eastAsia="楷体"/>
                <w:szCs w:val="21"/>
              </w:rPr>
              <w:t>汽车使用与维护</w:t>
            </w:r>
          </w:p>
        </w:tc>
        <w:tc>
          <w:tcPr>
            <w:tcW w:w="6400" w:type="dxa"/>
            <w:vAlign w:val="center"/>
          </w:tcPr>
          <w:p>
            <w:pPr>
              <w:jc w:val="left"/>
              <w:rPr>
                <w:rFonts w:ascii="楷体" w:hAnsi="楷体" w:eastAsia="楷体"/>
                <w:szCs w:val="21"/>
              </w:rPr>
            </w:pPr>
            <w:r>
              <w:rPr>
                <w:rFonts w:hint="eastAsia" w:ascii="楷体" w:hAnsi="楷体" w:eastAsia="楷体"/>
                <w:szCs w:val="21"/>
              </w:rPr>
              <w:t>主要教学内容：汽车选购知识，汽车合理使用；汽车维护制度，汽车运行材料，汽车维护工艺。</w:t>
            </w:r>
          </w:p>
          <w:p>
            <w:pPr>
              <w:jc w:val="left"/>
              <w:rPr>
                <w:rFonts w:ascii="楷体" w:hAnsi="楷体" w:eastAsia="楷体"/>
                <w:szCs w:val="21"/>
              </w:rPr>
            </w:pPr>
            <w:r>
              <w:rPr>
                <w:rFonts w:hint="eastAsia" w:ascii="楷体" w:hAnsi="楷体" w:eastAsia="楷体"/>
                <w:szCs w:val="21"/>
              </w:rPr>
              <w:t>主要教学要求：通过本课程的学习，使学生掌握汽车选购知识，掌握汽车操作方法；了解汽车维护制度，了解汽车运行材料，熟练使用汽车维修手册，熟练掌握汽车维护工艺。</w:t>
            </w:r>
          </w:p>
        </w:tc>
        <w:tc>
          <w:tcPr>
            <w:tcW w:w="982" w:type="dxa"/>
            <w:vAlign w:val="center"/>
          </w:tcPr>
          <w:p>
            <w:pPr>
              <w:jc w:val="center"/>
              <w:rPr>
                <w:rFonts w:ascii="楷体" w:hAnsi="楷体" w:eastAsia="楷体"/>
                <w:szCs w:val="21"/>
              </w:rPr>
            </w:pPr>
            <w:r>
              <w:rPr>
                <w:rFonts w:hint="eastAsia" w:ascii="楷体" w:hAnsi="楷体" w:eastAsia="楷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jc w:val="center"/>
              <w:rPr>
                <w:rFonts w:ascii="楷体" w:hAnsi="楷体" w:eastAsia="楷体"/>
                <w:szCs w:val="21"/>
              </w:rPr>
            </w:pPr>
            <w:r>
              <w:rPr>
                <w:rFonts w:hint="eastAsia" w:ascii="楷体" w:hAnsi="楷体" w:eastAsia="楷体"/>
                <w:szCs w:val="21"/>
              </w:rPr>
              <w:t>9</w:t>
            </w:r>
          </w:p>
        </w:tc>
        <w:tc>
          <w:tcPr>
            <w:tcW w:w="1184" w:type="dxa"/>
            <w:vAlign w:val="center"/>
          </w:tcPr>
          <w:p>
            <w:pPr>
              <w:jc w:val="center"/>
              <w:rPr>
                <w:rFonts w:ascii="楷体" w:hAnsi="楷体" w:eastAsia="楷体"/>
                <w:szCs w:val="21"/>
              </w:rPr>
            </w:pPr>
            <w:r>
              <w:rPr>
                <w:rFonts w:hint="eastAsia" w:ascii="楷体" w:hAnsi="楷体" w:eastAsia="楷体"/>
                <w:szCs w:val="21"/>
              </w:rPr>
              <w:t>汽车维修质量检验</w:t>
            </w:r>
          </w:p>
        </w:tc>
        <w:tc>
          <w:tcPr>
            <w:tcW w:w="6400" w:type="dxa"/>
            <w:vAlign w:val="center"/>
          </w:tcPr>
          <w:p>
            <w:pPr>
              <w:jc w:val="left"/>
              <w:rPr>
                <w:rFonts w:ascii="楷体" w:hAnsi="楷体" w:eastAsia="楷体"/>
                <w:szCs w:val="21"/>
              </w:rPr>
            </w:pPr>
            <w:r>
              <w:rPr>
                <w:rFonts w:hint="eastAsia" w:ascii="楷体" w:hAnsi="楷体" w:eastAsia="楷体"/>
                <w:szCs w:val="21"/>
              </w:rPr>
              <w:t>主要教学内容：汽车维修质量检验基础知识（含流程、标准和相关法律法规）；汽车维修质量管理；汽车故障诊断基础；汽车维修质量检验仪器与设备；汽车维护质量检验技术；汽车修理质量检验技术.</w:t>
            </w:r>
          </w:p>
          <w:p>
            <w:pPr>
              <w:jc w:val="left"/>
              <w:rPr>
                <w:rFonts w:ascii="楷体" w:hAnsi="楷体" w:eastAsia="楷体"/>
                <w:szCs w:val="21"/>
              </w:rPr>
            </w:pPr>
            <w:r>
              <w:rPr>
                <w:rFonts w:hint="eastAsia" w:ascii="楷体" w:hAnsi="楷体" w:eastAsia="楷体"/>
                <w:szCs w:val="21"/>
              </w:rPr>
              <w:t>主要教学要求： 熟悉汽车维修质量检验基础知识；了解相关法律、法规；熟悉汽车维修质量检验的主要内容和工作流程及标准；熟悉汽车故障诊断基础知识；能正确使用质量检验仪器、设备进行维护和修理质量检验</w:t>
            </w:r>
          </w:p>
        </w:tc>
        <w:tc>
          <w:tcPr>
            <w:tcW w:w="982" w:type="dxa"/>
            <w:vAlign w:val="center"/>
          </w:tcPr>
          <w:p>
            <w:pPr>
              <w:jc w:val="center"/>
              <w:rPr>
                <w:rFonts w:ascii="楷体" w:hAnsi="楷体" w:eastAsia="楷体"/>
                <w:szCs w:val="21"/>
              </w:rPr>
            </w:pPr>
            <w:r>
              <w:rPr>
                <w:rFonts w:hint="eastAsia" w:ascii="楷体" w:hAnsi="楷体" w:eastAsia="楷体"/>
                <w:szCs w:val="21"/>
              </w:rPr>
              <w:t>108</w:t>
            </w:r>
          </w:p>
        </w:tc>
      </w:tr>
    </w:tbl>
    <w:p>
      <w:pPr>
        <w:spacing w:line="420" w:lineRule="exact"/>
        <w:ind w:firstLine="260" w:firstLineChars="100"/>
        <w:jc w:val="left"/>
        <w:outlineLvl w:val="1"/>
        <w:rPr>
          <w:rFonts w:ascii="楷体" w:hAnsi="楷体" w:eastAsia="楷体"/>
          <w:bCs/>
          <w:sz w:val="26"/>
          <w:szCs w:val="26"/>
        </w:rPr>
      </w:pPr>
      <w:bookmarkStart w:id="63" w:name="_Toc2013732877"/>
      <w:bookmarkStart w:id="64" w:name="_Toc1121065142"/>
      <w:bookmarkStart w:id="65" w:name="_Toc566320859"/>
      <w:r>
        <w:rPr>
          <w:rFonts w:hint="eastAsia" w:ascii="楷体" w:hAnsi="楷体" w:eastAsia="楷体"/>
          <w:bCs/>
          <w:sz w:val="26"/>
          <w:szCs w:val="26"/>
        </w:rPr>
        <w:t>（三）</w:t>
      </w:r>
      <w:r>
        <w:rPr>
          <w:rFonts w:ascii="楷体" w:hAnsi="楷体" w:eastAsia="楷体"/>
          <w:bCs/>
          <w:sz w:val="26"/>
          <w:szCs w:val="26"/>
        </w:rPr>
        <w:t>专业</w:t>
      </w:r>
      <w:r>
        <w:rPr>
          <w:rFonts w:hint="eastAsia" w:ascii="楷体" w:hAnsi="楷体" w:eastAsia="楷体"/>
          <w:bCs/>
          <w:sz w:val="26"/>
          <w:szCs w:val="26"/>
        </w:rPr>
        <w:t>拓展</w:t>
      </w:r>
      <w:r>
        <w:rPr>
          <w:rFonts w:ascii="楷体" w:hAnsi="楷体" w:eastAsia="楷体"/>
          <w:bCs/>
          <w:sz w:val="26"/>
          <w:szCs w:val="26"/>
        </w:rPr>
        <w:t>课程</w:t>
      </w:r>
      <w:bookmarkEnd w:id="63"/>
      <w:bookmarkEnd w:id="64"/>
      <w:bookmarkEnd w:id="65"/>
    </w:p>
    <w:p>
      <w:pPr>
        <w:spacing w:line="420" w:lineRule="exact"/>
        <w:jc w:val="left"/>
        <w:outlineLvl w:val="2"/>
        <w:rPr>
          <w:rFonts w:ascii="仿宋" w:hAnsi="仿宋" w:eastAsia="仿宋"/>
          <w:bCs/>
          <w:sz w:val="26"/>
          <w:szCs w:val="26"/>
        </w:rPr>
      </w:pPr>
      <w:r>
        <w:rPr>
          <w:rFonts w:hint="eastAsia" w:ascii="仿宋" w:hAnsi="仿宋" w:eastAsia="仿宋"/>
          <w:sz w:val="26"/>
          <w:szCs w:val="26"/>
        </w:rPr>
        <w:t xml:space="preserve"> </w:t>
      </w:r>
      <w:r>
        <w:rPr>
          <w:rFonts w:ascii="仿宋" w:hAnsi="仿宋" w:eastAsia="仿宋"/>
          <w:sz w:val="26"/>
          <w:szCs w:val="26"/>
        </w:rPr>
        <w:t xml:space="preserve">  </w:t>
      </w:r>
      <w:bookmarkStart w:id="66" w:name="_Toc305892116"/>
      <w:r>
        <w:rPr>
          <w:rFonts w:hint="eastAsia" w:ascii="仿宋" w:hAnsi="仿宋" w:eastAsia="仿宋"/>
          <w:bCs/>
          <w:sz w:val="26"/>
          <w:szCs w:val="26"/>
        </w:rPr>
        <w:t>1.汽车机电维修</w:t>
      </w:r>
      <w:bookmarkEnd w:id="66"/>
    </w:p>
    <w:tbl>
      <w:tblPr>
        <w:tblStyle w:val="21"/>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556"/>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04" w:type="dxa"/>
            <w:vAlign w:val="center"/>
          </w:tcPr>
          <w:p>
            <w:pPr>
              <w:jc w:val="center"/>
              <w:rPr>
                <w:rFonts w:ascii="楷体" w:hAnsi="楷体" w:eastAsia="楷体"/>
                <w:b/>
                <w:szCs w:val="21"/>
              </w:rPr>
            </w:pPr>
            <w:r>
              <w:rPr>
                <w:rFonts w:hint="eastAsia" w:ascii="楷体" w:hAnsi="楷体" w:eastAsia="楷体"/>
                <w:b/>
                <w:szCs w:val="21"/>
              </w:rPr>
              <w:t>序号</w:t>
            </w:r>
          </w:p>
        </w:tc>
        <w:tc>
          <w:tcPr>
            <w:tcW w:w="113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556" w:type="dxa"/>
            <w:vAlign w:val="center"/>
          </w:tcPr>
          <w:p>
            <w:pPr>
              <w:jc w:val="center"/>
              <w:rPr>
                <w:rFonts w:ascii="楷体" w:hAnsi="楷体" w:eastAsia="楷体"/>
                <w:b/>
                <w:szCs w:val="21"/>
              </w:rPr>
            </w:pPr>
            <w:r>
              <w:rPr>
                <w:rFonts w:hint="eastAsia" w:ascii="楷体" w:hAnsi="楷体" w:eastAsia="楷体"/>
                <w:b/>
                <w:szCs w:val="21"/>
              </w:rPr>
              <w:t>教学</w:t>
            </w:r>
            <w:r>
              <w:rPr>
                <w:rFonts w:ascii="楷体" w:hAnsi="楷体" w:eastAsia="楷体"/>
                <w:b/>
                <w:szCs w:val="21"/>
              </w:rPr>
              <w:t>内容和要求</w:t>
            </w:r>
          </w:p>
        </w:tc>
        <w:tc>
          <w:tcPr>
            <w:tcW w:w="861" w:type="dxa"/>
            <w:vAlign w:val="center"/>
          </w:tcPr>
          <w:p>
            <w:pPr>
              <w:jc w:val="center"/>
              <w:rPr>
                <w:rFonts w:ascii="楷体" w:hAnsi="楷体" w:eastAsia="楷体"/>
                <w:b/>
                <w:sz w:val="24"/>
              </w:rPr>
            </w:pPr>
            <w:r>
              <w:rPr>
                <w:rFonts w:ascii="楷体" w:hAnsi="楷体" w:eastAsia="楷体"/>
                <w:b/>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1</w:t>
            </w:r>
          </w:p>
        </w:tc>
        <w:tc>
          <w:tcPr>
            <w:tcW w:w="1134" w:type="dxa"/>
            <w:vAlign w:val="center"/>
          </w:tcPr>
          <w:p>
            <w:pPr>
              <w:jc w:val="center"/>
              <w:rPr>
                <w:rFonts w:ascii="楷体" w:hAnsi="楷体" w:eastAsia="楷体"/>
                <w:szCs w:val="21"/>
              </w:rPr>
            </w:pPr>
            <w:r>
              <w:rPr>
                <w:rFonts w:hint="eastAsia" w:ascii="楷体" w:hAnsi="楷体" w:eastAsia="楷体"/>
                <w:szCs w:val="21"/>
              </w:rPr>
              <w:t>汽车车身电控系统构造与维修</w:t>
            </w:r>
          </w:p>
        </w:tc>
        <w:tc>
          <w:tcPr>
            <w:tcW w:w="6556" w:type="dxa"/>
            <w:vAlign w:val="center"/>
          </w:tcPr>
          <w:p>
            <w:pPr>
              <w:jc w:val="left"/>
              <w:rPr>
                <w:rFonts w:ascii="楷体" w:hAnsi="楷体" w:eastAsia="楷体"/>
                <w:szCs w:val="21"/>
              </w:rPr>
            </w:pPr>
            <w:r>
              <w:rPr>
                <w:rFonts w:hint="eastAsia" w:ascii="楷体" w:hAnsi="楷体" w:eastAsia="楷体"/>
                <w:szCs w:val="21"/>
              </w:rPr>
              <w:t>主要教学内容：汽车电子仪表；信息显示系统；安全气囊与电控安全带；防盗报警系统；防碰撞系统；前照灯控制系统；电控舒适系统；娱乐与通信系统；汽车车身电控系统诊断仪器和设备；汽车车身电控系统故障诊断与维修方法。</w:t>
            </w:r>
          </w:p>
          <w:p>
            <w:pPr>
              <w:jc w:val="left"/>
              <w:rPr>
                <w:rFonts w:ascii="楷体" w:hAnsi="楷体" w:eastAsia="楷体"/>
                <w:szCs w:val="21"/>
              </w:rPr>
            </w:pPr>
            <w:r>
              <w:rPr>
                <w:rFonts w:hint="eastAsia" w:ascii="楷体" w:hAnsi="楷体" w:eastAsia="楷体"/>
                <w:szCs w:val="21"/>
              </w:rPr>
              <w:t>主要教学要求：掌握汽车车身电控系统的结构与工作原理；掌握汽车车身电控系统一般故障的诊断与维修工艺。</w:t>
            </w:r>
          </w:p>
        </w:tc>
        <w:tc>
          <w:tcPr>
            <w:tcW w:w="861" w:type="dxa"/>
            <w:vMerge w:val="restart"/>
            <w:vAlign w:val="center"/>
          </w:tcPr>
          <w:p>
            <w:pPr>
              <w:jc w:val="center"/>
              <w:rPr>
                <w:rFonts w:ascii="楷体" w:hAnsi="楷体" w:eastAsia="楷体"/>
                <w:szCs w:val="21"/>
              </w:rPr>
            </w:pPr>
            <w:r>
              <w:rPr>
                <w:rFonts w:hint="eastAsia" w:ascii="楷体" w:hAnsi="楷体" w:eastAsia="楷体"/>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2</w:t>
            </w:r>
          </w:p>
        </w:tc>
        <w:tc>
          <w:tcPr>
            <w:tcW w:w="1134" w:type="dxa"/>
            <w:vAlign w:val="center"/>
          </w:tcPr>
          <w:p>
            <w:pPr>
              <w:jc w:val="center"/>
              <w:rPr>
                <w:rFonts w:ascii="楷体" w:hAnsi="楷体" w:eastAsia="楷体"/>
                <w:szCs w:val="21"/>
              </w:rPr>
            </w:pPr>
            <w:r>
              <w:rPr>
                <w:rFonts w:hint="eastAsia" w:ascii="楷体" w:hAnsi="楷体" w:eastAsia="楷体"/>
                <w:szCs w:val="21"/>
              </w:rPr>
              <w:t>汽车底盘电控系统构造与维修</w:t>
            </w:r>
          </w:p>
        </w:tc>
        <w:tc>
          <w:tcPr>
            <w:tcW w:w="6556" w:type="dxa"/>
            <w:vAlign w:val="center"/>
          </w:tcPr>
          <w:p>
            <w:pPr>
              <w:jc w:val="left"/>
              <w:rPr>
                <w:rFonts w:hint="default" w:ascii="楷体" w:hAnsi="楷体" w:eastAsia="楷体"/>
                <w:szCs w:val="21"/>
              </w:rPr>
            </w:pPr>
            <w:r>
              <w:rPr>
                <w:rFonts w:hint="eastAsia" w:ascii="楷体" w:hAnsi="楷体" w:eastAsia="楷体"/>
                <w:szCs w:val="21"/>
              </w:rPr>
              <w:t>主要教学内容：自动变速器；电控悬架；电动助力转向； ABS/ASR/EBD/EDS/ESP系统；汽车底盘电控系统故障诊断仪器和设备；汽车底盘电控系统故障的诊断与维修方法</w:t>
            </w:r>
            <w:r>
              <w:rPr>
                <w:rFonts w:hint="default" w:ascii="楷体" w:hAnsi="楷体" w:eastAsia="楷体"/>
                <w:szCs w:val="21"/>
              </w:rPr>
              <w:t>。</w:t>
            </w:r>
          </w:p>
          <w:p>
            <w:pPr>
              <w:jc w:val="left"/>
              <w:rPr>
                <w:rFonts w:ascii="楷体" w:hAnsi="楷体" w:eastAsia="楷体"/>
                <w:szCs w:val="21"/>
              </w:rPr>
            </w:pPr>
            <w:r>
              <w:rPr>
                <w:rFonts w:hint="eastAsia" w:ascii="楷体" w:hAnsi="楷体" w:eastAsia="楷体"/>
                <w:szCs w:val="21"/>
              </w:rPr>
              <w:t>主要教学要求：掌握汽车底盘电控系统的结构与工作原理；掌握汽车底盘电控系统一般故障的诊断与维修工艺。</w:t>
            </w:r>
          </w:p>
        </w:tc>
        <w:tc>
          <w:tcPr>
            <w:tcW w:w="861" w:type="dxa"/>
            <w:vMerge w:val="continue"/>
            <w:vAlign w:val="center"/>
          </w:tcPr>
          <w:p>
            <w:pPr>
              <w:jc w:val="left"/>
              <w:rPr>
                <w:rFonts w:ascii="楷体" w:hAnsi="楷体" w:eastAsia="楷体"/>
                <w:sz w:val="24"/>
              </w:rPr>
            </w:pPr>
          </w:p>
        </w:tc>
      </w:tr>
    </w:tbl>
    <w:p>
      <w:pPr>
        <w:spacing w:line="420" w:lineRule="exact"/>
        <w:ind w:firstLine="520" w:firstLineChars="200"/>
        <w:jc w:val="left"/>
        <w:outlineLvl w:val="2"/>
        <w:rPr>
          <w:rFonts w:ascii="仿宋" w:hAnsi="仿宋" w:eastAsia="仿宋"/>
          <w:bCs/>
          <w:sz w:val="26"/>
          <w:szCs w:val="26"/>
        </w:rPr>
      </w:pPr>
      <w:bookmarkStart w:id="67" w:name="_Toc274391980"/>
      <w:r>
        <w:rPr>
          <w:rFonts w:hint="eastAsia" w:ascii="仿宋" w:hAnsi="仿宋" w:eastAsia="仿宋"/>
          <w:bCs/>
          <w:sz w:val="26"/>
          <w:szCs w:val="26"/>
        </w:rPr>
        <w:t>2.汽车电气维修</w:t>
      </w:r>
      <w:bookmarkEnd w:id="67"/>
    </w:p>
    <w:tbl>
      <w:tblPr>
        <w:tblStyle w:val="21"/>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6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04" w:type="dxa"/>
            <w:vAlign w:val="center"/>
          </w:tcPr>
          <w:p>
            <w:pPr>
              <w:jc w:val="center"/>
              <w:rPr>
                <w:rFonts w:ascii="楷体" w:hAnsi="楷体" w:eastAsia="楷体"/>
                <w:b/>
                <w:szCs w:val="21"/>
              </w:rPr>
            </w:pPr>
            <w:r>
              <w:rPr>
                <w:rFonts w:hint="eastAsia" w:ascii="楷体" w:hAnsi="楷体" w:eastAsia="楷体"/>
                <w:b/>
                <w:szCs w:val="21"/>
              </w:rPr>
              <w:t>序号</w:t>
            </w:r>
          </w:p>
        </w:tc>
        <w:tc>
          <w:tcPr>
            <w:tcW w:w="113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615" w:type="dxa"/>
            <w:vAlign w:val="center"/>
          </w:tcPr>
          <w:p>
            <w:pPr>
              <w:jc w:val="center"/>
              <w:rPr>
                <w:rFonts w:ascii="楷体" w:hAnsi="楷体" w:eastAsia="楷体"/>
                <w:b/>
                <w:szCs w:val="21"/>
              </w:rPr>
            </w:pPr>
            <w:r>
              <w:rPr>
                <w:rFonts w:hint="eastAsia" w:ascii="楷体" w:hAnsi="楷体" w:eastAsia="楷体"/>
                <w:b/>
                <w:szCs w:val="21"/>
              </w:rPr>
              <w:t>教学</w:t>
            </w:r>
            <w:r>
              <w:rPr>
                <w:rFonts w:ascii="楷体" w:hAnsi="楷体" w:eastAsia="楷体"/>
                <w:b/>
                <w:szCs w:val="21"/>
              </w:rPr>
              <w:t>内容和要求</w:t>
            </w:r>
          </w:p>
        </w:tc>
        <w:tc>
          <w:tcPr>
            <w:tcW w:w="802" w:type="dxa"/>
            <w:vAlign w:val="center"/>
          </w:tcPr>
          <w:p>
            <w:pPr>
              <w:jc w:val="center"/>
              <w:rPr>
                <w:rFonts w:ascii="楷体" w:hAnsi="楷体" w:eastAsia="楷体"/>
                <w:b/>
                <w:szCs w:val="21"/>
              </w:rPr>
            </w:pPr>
            <w:r>
              <w:rPr>
                <w:rFonts w:ascii="楷体" w:hAnsi="楷体" w:eastAsia="楷体"/>
                <w:b/>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1</w:t>
            </w:r>
          </w:p>
        </w:tc>
        <w:tc>
          <w:tcPr>
            <w:tcW w:w="1134" w:type="dxa"/>
            <w:vAlign w:val="center"/>
          </w:tcPr>
          <w:p>
            <w:pPr>
              <w:jc w:val="center"/>
              <w:rPr>
                <w:rFonts w:ascii="楷体" w:hAnsi="楷体" w:eastAsia="楷体"/>
                <w:szCs w:val="21"/>
              </w:rPr>
            </w:pPr>
            <w:r>
              <w:rPr>
                <w:rFonts w:hint="eastAsia" w:ascii="楷体" w:hAnsi="楷体" w:eastAsia="楷体"/>
                <w:szCs w:val="21"/>
              </w:rPr>
              <w:t>汽车电气设备构造与维修</w:t>
            </w:r>
          </w:p>
        </w:tc>
        <w:tc>
          <w:tcPr>
            <w:tcW w:w="6615" w:type="dxa"/>
            <w:vAlign w:val="center"/>
          </w:tcPr>
          <w:p>
            <w:pPr>
              <w:jc w:val="left"/>
              <w:rPr>
                <w:rFonts w:ascii="楷体" w:hAnsi="楷体" w:eastAsia="楷体"/>
                <w:szCs w:val="21"/>
              </w:rPr>
            </w:pPr>
            <w:r>
              <w:rPr>
                <w:rFonts w:hint="eastAsia" w:ascii="楷体" w:hAnsi="楷体" w:eastAsia="楷体"/>
                <w:szCs w:val="21"/>
              </w:rPr>
              <w:t>主要教学内容：汽车电源系统、照明与信号系统、仪表与警告系统、辅助电器系统结构与工作原理；汽车电路的结构与组成，汽车电路图的识读；汽车电路故障诊断方法。</w:t>
            </w:r>
          </w:p>
          <w:p>
            <w:pPr>
              <w:jc w:val="left"/>
              <w:rPr>
                <w:rFonts w:ascii="楷体" w:hAnsi="楷体" w:eastAsia="楷体"/>
                <w:szCs w:val="21"/>
              </w:rPr>
            </w:pPr>
            <w:r>
              <w:rPr>
                <w:rFonts w:hint="eastAsia" w:ascii="楷体" w:hAnsi="楷体" w:eastAsia="楷体"/>
                <w:szCs w:val="21"/>
              </w:rPr>
              <w:t>主要教学要求：通过本课程的学习，使学生掌握汽车电气设备各系统、总成和部件的功用、结构与工作原理，具备汽车电气设备故障诊断与维修的能力。</w:t>
            </w:r>
          </w:p>
        </w:tc>
        <w:tc>
          <w:tcPr>
            <w:tcW w:w="802" w:type="dxa"/>
            <w:vMerge w:val="restart"/>
            <w:vAlign w:val="center"/>
          </w:tcPr>
          <w:p>
            <w:pPr>
              <w:jc w:val="center"/>
              <w:rPr>
                <w:rFonts w:ascii="楷体" w:hAnsi="楷体" w:eastAsia="楷体"/>
                <w:szCs w:val="21"/>
              </w:rPr>
            </w:pPr>
            <w:r>
              <w:rPr>
                <w:rFonts w:hint="eastAsia" w:ascii="楷体" w:hAnsi="楷体" w:eastAsia="楷体"/>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2</w:t>
            </w:r>
          </w:p>
        </w:tc>
        <w:tc>
          <w:tcPr>
            <w:tcW w:w="1134" w:type="dxa"/>
            <w:vAlign w:val="center"/>
          </w:tcPr>
          <w:p>
            <w:pPr>
              <w:jc w:val="center"/>
              <w:rPr>
                <w:rFonts w:ascii="楷体" w:hAnsi="楷体" w:eastAsia="楷体"/>
                <w:szCs w:val="21"/>
              </w:rPr>
            </w:pPr>
            <w:r>
              <w:rPr>
                <w:rFonts w:hint="eastAsia" w:ascii="楷体" w:hAnsi="楷体" w:eastAsia="楷体"/>
                <w:szCs w:val="21"/>
              </w:rPr>
              <w:t>汽车空调系统构造与维修</w:t>
            </w:r>
          </w:p>
        </w:tc>
        <w:tc>
          <w:tcPr>
            <w:tcW w:w="6615" w:type="dxa"/>
            <w:vAlign w:val="center"/>
          </w:tcPr>
          <w:p>
            <w:pPr>
              <w:jc w:val="left"/>
              <w:rPr>
                <w:rFonts w:hint="default" w:ascii="楷体" w:hAnsi="楷体" w:eastAsia="楷体"/>
                <w:szCs w:val="21"/>
              </w:rPr>
            </w:pPr>
            <w:r>
              <w:rPr>
                <w:rFonts w:hint="eastAsia" w:ascii="楷体" w:hAnsi="楷体" w:eastAsia="楷体"/>
                <w:szCs w:val="21"/>
              </w:rPr>
              <w:t>主要教学内容：汽车手动空调；汽车自动空调；汽车空调系统的正确使用；汽车空调系统故障诊断仪器和设备；汽车空调系统故障的诊断与维修方法</w:t>
            </w:r>
            <w:r>
              <w:rPr>
                <w:rFonts w:hint="default" w:ascii="楷体" w:hAnsi="楷体" w:eastAsia="楷体"/>
                <w:szCs w:val="21"/>
              </w:rPr>
              <w:t>。</w:t>
            </w:r>
          </w:p>
          <w:p>
            <w:pPr>
              <w:jc w:val="left"/>
              <w:rPr>
                <w:rFonts w:ascii="楷体" w:hAnsi="楷体" w:eastAsia="楷体"/>
                <w:szCs w:val="21"/>
              </w:rPr>
            </w:pPr>
            <w:r>
              <w:rPr>
                <w:rFonts w:hint="eastAsia" w:ascii="楷体" w:hAnsi="楷体" w:eastAsia="楷体"/>
                <w:szCs w:val="21"/>
              </w:rPr>
              <w:t>主要教学要求：掌握汽车空调系统的结构与工作原理；掌握汽车空调性能检查的方法；能正确选用仪器设备进行汽车空调系统检漏，制冷剂回收、净化与加注；掌握汽车手动及自动空调一般故障的诊断与维修工艺。</w:t>
            </w:r>
          </w:p>
        </w:tc>
        <w:tc>
          <w:tcPr>
            <w:tcW w:w="802" w:type="dxa"/>
            <w:vMerge w:val="continue"/>
            <w:vAlign w:val="center"/>
          </w:tcPr>
          <w:p>
            <w:pPr>
              <w:jc w:val="left"/>
              <w:rPr>
                <w:rFonts w:ascii="楷体" w:hAnsi="楷体" w:eastAsia="楷体"/>
                <w:sz w:val="24"/>
              </w:rPr>
            </w:pPr>
          </w:p>
        </w:tc>
      </w:tr>
    </w:tbl>
    <w:p>
      <w:pPr>
        <w:spacing w:line="420" w:lineRule="exact"/>
        <w:ind w:firstLine="520" w:firstLineChars="200"/>
        <w:jc w:val="left"/>
        <w:outlineLvl w:val="2"/>
        <w:rPr>
          <w:rFonts w:ascii="仿宋" w:hAnsi="仿宋" w:eastAsia="仿宋"/>
          <w:bCs/>
          <w:sz w:val="26"/>
          <w:szCs w:val="26"/>
        </w:rPr>
      </w:pPr>
      <w:bookmarkStart w:id="68" w:name="_Toc1211543494"/>
      <w:r>
        <w:rPr>
          <w:rFonts w:hint="eastAsia" w:ascii="仿宋" w:hAnsi="仿宋" w:eastAsia="仿宋"/>
          <w:bCs/>
          <w:sz w:val="26"/>
          <w:szCs w:val="26"/>
        </w:rPr>
        <w:t>3.汽车性能检测</w:t>
      </w:r>
      <w:bookmarkEnd w:id="68"/>
    </w:p>
    <w:tbl>
      <w:tblPr>
        <w:tblStyle w:val="21"/>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6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04" w:type="dxa"/>
            <w:vAlign w:val="center"/>
          </w:tcPr>
          <w:p>
            <w:pPr>
              <w:jc w:val="center"/>
              <w:rPr>
                <w:rFonts w:ascii="楷体" w:hAnsi="楷体" w:eastAsia="楷体"/>
                <w:b/>
                <w:szCs w:val="21"/>
              </w:rPr>
            </w:pPr>
            <w:r>
              <w:rPr>
                <w:rFonts w:hint="eastAsia" w:ascii="楷体" w:hAnsi="楷体" w:eastAsia="楷体"/>
                <w:b/>
                <w:szCs w:val="21"/>
              </w:rPr>
              <w:t>序号</w:t>
            </w:r>
          </w:p>
        </w:tc>
        <w:tc>
          <w:tcPr>
            <w:tcW w:w="113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615" w:type="dxa"/>
            <w:vAlign w:val="center"/>
          </w:tcPr>
          <w:p>
            <w:pPr>
              <w:jc w:val="center"/>
              <w:rPr>
                <w:rFonts w:ascii="楷体" w:hAnsi="楷体" w:eastAsia="楷体"/>
                <w:b/>
                <w:szCs w:val="21"/>
              </w:rPr>
            </w:pPr>
            <w:r>
              <w:rPr>
                <w:rFonts w:hint="eastAsia" w:ascii="楷体" w:hAnsi="楷体" w:eastAsia="楷体"/>
                <w:b/>
                <w:szCs w:val="21"/>
              </w:rPr>
              <w:t>教学</w:t>
            </w:r>
            <w:r>
              <w:rPr>
                <w:rFonts w:ascii="楷体" w:hAnsi="楷体" w:eastAsia="楷体"/>
                <w:b/>
                <w:szCs w:val="21"/>
              </w:rPr>
              <w:t>内容和要求</w:t>
            </w:r>
          </w:p>
        </w:tc>
        <w:tc>
          <w:tcPr>
            <w:tcW w:w="802" w:type="dxa"/>
            <w:vAlign w:val="center"/>
          </w:tcPr>
          <w:p>
            <w:pPr>
              <w:jc w:val="center"/>
              <w:rPr>
                <w:rFonts w:ascii="楷体" w:hAnsi="楷体" w:eastAsia="楷体"/>
                <w:b/>
                <w:szCs w:val="21"/>
              </w:rPr>
            </w:pPr>
            <w:r>
              <w:rPr>
                <w:rFonts w:ascii="楷体" w:hAnsi="楷体" w:eastAsia="楷体"/>
                <w:b/>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1</w:t>
            </w:r>
          </w:p>
        </w:tc>
        <w:tc>
          <w:tcPr>
            <w:tcW w:w="1134" w:type="dxa"/>
            <w:vAlign w:val="center"/>
          </w:tcPr>
          <w:p>
            <w:pPr>
              <w:jc w:val="center"/>
              <w:rPr>
                <w:rFonts w:ascii="楷体" w:hAnsi="楷体" w:eastAsia="楷体"/>
                <w:szCs w:val="21"/>
              </w:rPr>
            </w:pPr>
            <w:r>
              <w:rPr>
                <w:rFonts w:hint="eastAsia" w:ascii="楷体" w:hAnsi="楷体" w:eastAsia="楷体"/>
                <w:szCs w:val="21"/>
              </w:rPr>
              <w:t>汽车检测与诊断技术</w:t>
            </w:r>
          </w:p>
        </w:tc>
        <w:tc>
          <w:tcPr>
            <w:tcW w:w="6615" w:type="dxa"/>
            <w:vAlign w:val="center"/>
          </w:tcPr>
          <w:p>
            <w:pPr>
              <w:jc w:val="left"/>
              <w:rPr>
                <w:rFonts w:ascii="楷体" w:hAnsi="楷体" w:eastAsia="楷体"/>
                <w:szCs w:val="21"/>
              </w:rPr>
            </w:pPr>
            <w:r>
              <w:rPr>
                <w:rFonts w:hint="eastAsia" w:ascii="楷体" w:hAnsi="楷体" w:eastAsia="楷体"/>
                <w:szCs w:val="21"/>
              </w:rPr>
              <w:t>主要教学内容：汽车检测技术基础（含汽车检测标准与相关法律法规）；汽车检测站的任务及分类；汽车检测站的组成、工位布置及检测流程；汽车检测技术与检测设备；汽车检测站管理；汽车故障诊断技术。</w:t>
            </w:r>
          </w:p>
          <w:p>
            <w:pPr>
              <w:jc w:val="left"/>
              <w:rPr>
                <w:rFonts w:ascii="楷体" w:hAnsi="楷体" w:eastAsia="楷体"/>
                <w:szCs w:val="21"/>
              </w:rPr>
            </w:pPr>
            <w:r>
              <w:rPr>
                <w:rFonts w:hint="eastAsia" w:ascii="楷体" w:hAnsi="楷体" w:eastAsia="楷体"/>
                <w:szCs w:val="21"/>
              </w:rPr>
              <w:t>主要教学要求：了解汽车检测技术的发展概况；熟悉汽车检测站的主要任务和工作流程；熟悉汽车检测的内容、原理和方法；熟悉检测标准及相关法律法规；了解汽车检测站的管理知识；掌握汽车一般故障的诊断方法；能够使用检测仪器、设备进行汽车性能检测，确定汽车技术状况。</w:t>
            </w:r>
          </w:p>
        </w:tc>
        <w:tc>
          <w:tcPr>
            <w:tcW w:w="802" w:type="dxa"/>
            <w:vMerge w:val="restart"/>
            <w:vAlign w:val="center"/>
          </w:tcPr>
          <w:p>
            <w:pPr>
              <w:jc w:val="center"/>
              <w:rPr>
                <w:rFonts w:ascii="楷体" w:hAnsi="楷体" w:eastAsia="楷体"/>
                <w:szCs w:val="21"/>
              </w:rPr>
            </w:pPr>
            <w:r>
              <w:rPr>
                <w:rFonts w:hint="eastAsia" w:ascii="楷体" w:hAnsi="楷体" w:eastAsia="楷体"/>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2</w:t>
            </w:r>
          </w:p>
        </w:tc>
        <w:tc>
          <w:tcPr>
            <w:tcW w:w="1134" w:type="dxa"/>
            <w:vAlign w:val="center"/>
          </w:tcPr>
          <w:p>
            <w:pPr>
              <w:jc w:val="center"/>
              <w:rPr>
                <w:rFonts w:ascii="楷体" w:hAnsi="楷体" w:eastAsia="楷体"/>
                <w:szCs w:val="21"/>
              </w:rPr>
            </w:pPr>
            <w:r>
              <w:rPr>
                <w:rFonts w:hint="eastAsia" w:ascii="楷体" w:hAnsi="楷体" w:eastAsia="楷体"/>
                <w:szCs w:val="21"/>
              </w:rPr>
              <w:t>汽车评估技术</w:t>
            </w:r>
          </w:p>
        </w:tc>
        <w:tc>
          <w:tcPr>
            <w:tcW w:w="6615" w:type="dxa"/>
            <w:vAlign w:val="center"/>
          </w:tcPr>
          <w:p>
            <w:pPr>
              <w:jc w:val="left"/>
              <w:rPr>
                <w:rFonts w:ascii="楷体" w:hAnsi="楷体" w:eastAsia="楷体"/>
                <w:szCs w:val="21"/>
              </w:rPr>
            </w:pPr>
            <w:r>
              <w:rPr>
                <w:rFonts w:hint="eastAsia" w:ascii="楷体" w:hAnsi="楷体" w:eastAsia="楷体"/>
                <w:szCs w:val="21"/>
              </w:rPr>
              <w:t>主要教学内容：1.汽车评估技术基础（含汽车评估标准）；汽车评估任务及分类；汽车评估设备及评估技术；汽车技术等级评定；二手车价格评估；事故车碰撞评估。</w:t>
            </w:r>
          </w:p>
          <w:p>
            <w:pPr>
              <w:jc w:val="left"/>
              <w:rPr>
                <w:rFonts w:ascii="楷体" w:hAnsi="楷体" w:eastAsia="楷体"/>
                <w:szCs w:val="21"/>
              </w:rPr>
            </w:pPr>
            <w:r>
              <w:rPr>
                <w:rFonts w:hint="eastAsia" w:ascii="楷体" w:hAnsi="楷体" w:eastAsia="楷体"/>
                <w:szCs w:val="21"/>
              </w:rPr>
              <w:t>主要教学要求：1.了解汽车评估技术的发展概况；了解汽车评估的分类；熟悉汽车评估标准；了解二手车价格评估及事故车碰撞评估方法；掌握汽车技术等级评定方法；能够使用汽车评估仪器、设备进行汽车技术评估，确定汽车技术状况和技术等级。</w:t>
            </w:r>
          </w:p>
        </w:tc>
        <w:tc>
          <w:tcPr>
            <w:tcW w:w="802" w:type="dxa"/>
            <w:vMerge w:val="continue"/>
            <w:vAlign w:val="center"/>
          </w:tcPr>
          <w:p>
            <w:pPr>
              <w:jc w:val="left"/>
              <w:rPr>
                <w:rFonts w:ascii="楷体" w:hAnsi="楷体" w:eastAsia="楷体"/>
                <w:sz w:val="24"/>
              </w:rPr>
            </w:pPr>
          </w:p>
        </w:tc>
      </w:tr>
    </w:tbl>
    <w:p>
      <w:pPr>
        <w:spacing w:line="420" w:lineRule="exact"/>
        <w:ind w:firstLine="520" w:firstLineChars="200"/>
        <w:jc w:val="left"/>
        <w:outlineLvl w:val="2"/>
        <w:rPr>
          <w:rFonts w:ascii="仿宋" w:hAnsi="仿宋" w:eastAsia="仿宋"/>
          <w:bCs/>
          <w:sz w:val="26"/>
          <w:szCs w:val="26"/>
        </w:rPr>
      </w:pPr>
      <w:bookmarkStart w:id="69" w:name="_Toc608926912"/>
      <w:r>
        <w:rPr>
          <w:rFonts w:hint="eastAsia" w:ascii="仿宋" w:hAnsi="仿宋" w:eastAsia="仿宋"/>
          <w:bCs/>
          <w:sz w:val="26"/>
          <w:szCs w:val="26"/>
        </w:rPr>
        <w:t>4.汽车维修业务接待</w:t>
      </w:r>
      <w:bookmarkEnd w:id="69"/>
    </w:p>
    <w:tbl>
      <w:tblPr>
        <w:tblStyle w:val="21"/>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6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04" w:type="dxa"/>
            <w:vAlign w:val="center"/>
          </w:tcPr>
          <w:p>
            <w:pPr>
              <w:jc w:val="center"/>
              <w:rPr>
                <w:rFonts w:ascii="楷体" w:hAnsi="楷体" w:eastAsia="楷体"/>
                <w:b/>
                <w:szCs w:val="21"/>
              </w:rPr>
            </w:pPr>
            <w:r>
              <w:rPr>
                <w:rFonts w:hint="eastAsia" w:ascii="楷体" w:hAnsi="楷体" w:eastAsia="楷体"/>
                <w:b/>
                <w:szCs w:val="21"/>
              </w:rPr>
              <w:t>序号</w:t>
            </w:r>
          </w:p>
        </w:tc>
        <w:tc>
          <w:tcPr>
            <w:tcW w:w="113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615" w:type="dxa"/>
            <w:vAlign w:val="center"/>
          </w:tcPr>
          <w:p>
            <w:pPr>
              <w:jc w:val="center"/>
              <w:rPr>
                <w:rFonts w:ascii="楷体" w:hAnsi="楷体" w:eastAsia="楷体"/>
                <w:b/>
                <w:szCs w:val="21"/>
              </w:rPr>
            </w:pPr>
            <w:r>
              <w:rPr>
                <w:rFonts w:hint="eastAsia" w:ascii="楷体" w:hAnsi="楷体" w:eastAsia="楷体"/>
                <w:b/>
                <w:szCs w:val="21"/>
              </w:rPr>
              <w:t>教学</w:t>
            </w:r>
            <w:r>
              <w:rPr>
                <w:rFonts w:ascii="楷体" w:hAnsi="楷体" w:eastAsia="楷体"/>
                <w:b/>
                <w:szCs w:val="21"/>
              </w:rPr>
              <w:t>内容和要求</w:t>
            </w:r>
          </w:p>
        </w:tc>
        <w:tc>
          <w:tcPr>
            <w:tcW w:w="802" w:type="dxa"/>
            <w:vAlign w:val="center"/>
          </w:tcPr>
          <w:p>
            <w:pPr>
              <w:jc w:val="center"/>
              <w:rPr>
                <w:rFonts w:ascii="楷体" w:hAnsi="楷体" w:eastAsia="楷体"/>
                <w:b/>
                <w:szCs w:val="21"/>
              </w:rPr>
            </w:pPr>
            <w:r>
              <w:rPr>
                <w:rFonts w:ascii="楷体" w:hAnsi="楷体" w:eastAsia="楷体"/>
                <w:b/>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1</w:t>
            </w:r>
          </w:p>
        </w:tc>
        <w:tc>
          <w:tcPr>
            <w:tcW w:w="1134" w:type="dxa"/>
            <w:vAlign w:val="center"/>
          </w:tcPr>
          <w:p>
            <w:pPr>
              <w:jc w:val="center"/>
              <w:rPr>
                <w:rFonts w:ascii="楷体" w:hAnsi="楷体" w:eastAsia="楷体"/>
                <w:szCs w:val="21"/>
              </w:rPr>
            </w:pPr>
            <w:r>
              <w:rPr>
                <w:rFonts w:hint="eastAsia" w:ascii="楷体" w:hAnsi="楷体" w:eastAsia="楷体"/>
                <w:szCs w:val="21"/>
              </w:rPr>
              <w:t>汽车检测与诊断技术</w:t>
            </w:r>
          </w:p>
        </w:tc>
        <w:tc>
          <w:tcPr>
            <w:tcW w:w="6615" w:type="dxa"/>
            <w:vAlign w:val="center"/>
          </w:tcPr>
          <w:p>
            <w:pPr>
              <w:jc w:val="left"/>
              <w:rPr>
                <w:rFonts w:ascii="楷体" w:hAnsi="楷体" w:eastAsia="楷体"/>
                <w:szCs w:val="21"/>
              </w:rPr>
            </w:pPr>
            <w:r>
              <w:rPr>
                <w:rFonts w:hint="eastAsia" w:ascii="楷体" w:hAnsi="楷体" w:eastAsia="楷体"/>
                <w:szCs w:val="21"/>
              </w:rPr>
              <w:t>主要教学内容：汽车检测技术基础（含汽车检测标准与相关法律法规）；汽车检测站的任务及分类；汽车检测站的组成、工位布置及检测流程；汽车检测技术与检测设备；汽车检测站管理；汽车故障诊断技术。</w:t>
            </w:r>
          </w:p>
          <w:p>
            <w:pPr>
              <w:jc w:val="left"/>
              <w:rPr>
                <w:rFonts w:ascii="楷体" w:hAnsi="楷体" w:eastAsia="楷体"/>
                <w:szCs w:val="21"/>
              </w:rPr>
            </w:pPr>
            <w:r>
              <w:rPr>
                <w:rFonts w:hint="eastAsia" w:ascii="楷体" w:hAnsi="楷体" w:eastAsia="楷体"/>
                <w:szCs w:val="21"/>
              </w:rPr>
              <w:t>主要教学要求：了解汽车检测技术的发展概况；熟悉汽车检测站的主要任务和工作流程；熟悉汽车检测的内容、原理和方法；熟悉检测标准及相关法律法规；了解汽车检测站的管理知识；掌握汽车一般故障的诊断方法；能够使用检测仪器、设备进行汽车性能检测，确定汽车技术状况。</w:t>
            </w:r>
          </w:p>
        </w:tc>
        <w:tc>
          <w:tcPr>
            <w:tcW w:w="802" w:type="dxa"/>
            <w:vMerge w:val="restart"/>
            <w:vAlign w:val="center"/>
          </w:tcPr>
          <w:p>
            <w:pPr>
              <w:jc w:val="center"/>
              <w:rPr>
                <w:rFonts w:ascii="楷体" w:hAnsi="楷体" w:eastAsia="楷体"/>
                <w:szCs w:val="21"/>
              </w:rPr>
            </w:pPr>
            <w:r>
              <w:rPr>
                <w:rFonts w:hint="eastAsia" w:ascii="楷体" w:hAnsi="楷体" w:eastAsia="楷体"/>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楷体" w:hAnsi="楷体" w:eastAsia="楷体"/>
                <w:szCs w:val="21"/>
              </w:rPr>
            </w:pPr>
            <w:r>
              <w:rPr>
                <w:rFonts w:hint="eastAsia" w:ascii="楷体" w:hAnsi="楷体" w:eastAsia="楷体"/>
                <w:szCs w:val="21"/>
              </w:rPr>
              <w:t>2</w:t>
            </w:r>
          </w:p>
        </w:tc>
        <w:tc>
          <w:tcPr>
            <w:tcW w:w="1134" w:type="dxa"/>
            <w:vAlign w:val="center"/>
          </w:tcPr>
          <w:p>
            <w:pPr>
              <w:jc w:val="center"/>
              <w:rPr>
                <w:rFonts w:ascii="楷体" w:hAnsi="楷体" w:eastAsia="楷体"/>
                <w:szCs w:val="21"/>
              </w:rPr>
            </w:pPr>
            <w:r>
              <w:rPr>
                <w:rFonts w:hint="eastAsia" w:ascii="楷体" w:hAnsi="楷体" w:eastAsia="楷体"/>
                <w:szCs w:val="21"/>
              </w:rPr>
              <w:t>汽车维修业务接待</w:t>
            </w:r>
          </w:p>
        </w:tc>
        <w:tc>
          <w:tcPr>
            <w:tcW w:w="6615" w:type="dxa"/>
            <w:vAlign w:val="center"/>
          </w:tcPr>
          <w:p>
            <w:pPr>
              <w:jc w:val="left"/>
              <w:rPr>
                <w:rFonts w:ascii="楷体" w:hAnsi="楷体" w:eastAsia="楷体"/>
                <w:szCs w:val="21"/>
              </w:rPr>
            </w:pPr>
            <w:r>
              <w:rPr>
                <w:rFonts w:hint="eastAsia" w:ascii="楷体" w:hAnsi="楷体" w:eastAsia="楷体"/>
                <w:szCs w:val="21"/>
              </w:rPr>
              <w:t>主要教学内容：汽车维修业务管理；汽车配件基本知识；汽车保险基本知识；汽车维修计算机及应用；汽车维修工时定额与财务基本知识；</w:t>
            </w:r>
          </w:p>
          <w:p>
            <w:pPr>
              <w:jc w:val="left"/>
              <w:rPr>
                <w:rFonts w:ascii="楷体" w:hAnsi="楷体" w:eastAsia="楷体"/>
                <w:szCs w:val="21"/>
              </w:rPr>
            </w:pPr>
            <w:r>
              <w:rPr>
                <w:rFonts w:hint="eastAsia" w:ascii="楷体" w:hAnsi="楷体" w:eastAsia="楷体"/>
                <w:szCs w:val="21"/>
              </w:rPr>
              <w:t>主要教学要求：了解汽车维修业务接待员的岗位职责；熟悉维修业务接待员的主要内容；掌握服务礼仪与维修业务接待流程；熟练使用汽车维修计算机管理系统；能按工作流程进行汽车维修业务接待工作。</w:t>
            </w:r>
          </w:p>
        </w:tc>
        <w:tc>
          <w:tcPr>
            <w:tcW w:w="802" w:type="dxa"/>
            <w:vMerge w:val="continue"/>
            <w:vAlign w:val="center"/>
          </w:tcPr>
          <w:p>
            <w:pPr>
              <w:jc w:val="left"/>
              <w:rPr>
                <w:rFonts w:ascii="楷体" w:hAnsi="楷体" w:eastAsia="楷体"/>
                <w:sz w:val="24"/>
              </w:rPr>
            </w:pPr>
          </w:p>
        </w:tc>
      </w:tr>
    </w:tbl>
    <w:p>
      <w:pPr>
        <w:spacing w:line="420" w:lineRule="exact"/>
        <w:ind w:firstLine="520" w:firstLineChars="200"/>
        <w:jc w:val="left"/>
        <w:outlineLvl w:val="2"/>
        <w:rPr>
          <w:rFonts w:ascii="仿宋" w:hAnsi="仿宋" w:eastAsia="仿宋"/>
          <w:bCs/>
          <w:sz w:val="26"/>
          <w:szCs w:val="26"/>
        </w:rPr>
      </w:pPr>
      <w:bookmarkStart w:id="70" w:name="_Toc759201913"/>
      <w:r>
        <w:rPr>
          <w:rFonts w:ascii="仿宋" w:hAnsi="仿宋" w:eastAsia="仿宋"/>
          <w:bCs/>
          <w:sz w:val="26"/>
          <w:szCs w:val="26"/>
        </w:rPr>
        <w:t>5</w:t>
      </w:r>
      <w:r>
        <w:rPr>
          <w:rFonts w:hint="eastAsia" w:ascii="仿宋" w:hAnsi="仿宋" w:eastAsia="仿宋"/>
          <w:bCs/>
          <w:sz w:val="26"/>
          <w:szCs w:val="26"/>
        </w:rPr>
        <w:t>.新能源汽车技术</w:t>
      </w:r>
      <w:bookmarkEnd w:id="70"/>
    </w:p>
    <w:tbl>
      <w:tblPr>
        <w:tblStyle w:val="21"/>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6615"/>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04" w:type="dxa"/>
            <w:vAlign w:val="center"/>
          </w:tcPr>
          <w:p>
            <w:pPr>
              <w:jc w:val="center"/>
              <w:rPr>
                <w:rFonts w:ascii="楷体" w:hAnsi="楷体" w:eastAsia="楷体"/>
                <w:b/>
                <w:szCs w:val="21"/>
              </w:rPr>
            </w:pPr>
            <w:r>
              <w:rPr>
                <w:rFonts w:hint="eastAsia" w:ascii="楷体" w:hAnsi="楷体" w:eastAsia="楷体"/>
                <w:b/>
                <w:szCs w:val="21"/>
              </w:rPr>
              <w:t>序号</w:t>
            </w:r>
          </w:p>
        </w:tc>
        <w:tc>
          <w:tcPr>
            <w:tcW w:w="1134" w:type="dxa"/>
            <w:vAlign w:val="center"/>
          </w:tcPr>
          <w:p>
            <w:pPr>
              <w:jc w:val="center"/>
              <w:rPr>
                <w:rFonts w:ascii="楷体" w:hAnsi="楷体" w:eastAsia="楷体"/>
                <w:b/>
                <w:szCs w:val="21"/>
              </w:rPr>
            </w:pPr>
            <w:r>
              <w:rPr>
                <w:rFonts w:hint="eastAsia" w:ascii="楷体" w:hAnsi="楷体" w:eastAsia="楷体"/>
                <w:b/>
                <w:szCs w:val="21"/>
              </w:rPr>
              <w:t>课程</w:t>
            </w:r>
            <w:r>
              <w:rPr>
                <w:rFonts w:ascii="楷体" w:hAnsi="楷体" w:eastAsia="楷体"/>
                <w:b/>
                <w:szCs w:val="21"/>
              </w:rPr>
              <w:t>名称</w:t>
            </w:r>
          </w:p>
        </w:tc>
        <w:tc>
          <w:tcPr>
            <w:tcW w:w="6615" w:type="dxa"/>
            <w:vAlign w:val="center"/>
          </w:tcPr>
          <w:p>
            <w:pPr>
              <w:jc w:val="center"/>
              <w:rPr>
                <w:rFonts w:ascii="楷体" w:hAnsi="楷体" w:eastAsia="楷体"/>
                <w:b/>
                <w:szCs w:val="21"/>
              </w:rPr>
            </w:pPr>
            <w:r>
              <w:rPr>
                <w:rFonts w:hint="eastAsia" w:ascii="楷体" w:hAnsi="楷体" w:eastAsia="楷体"/>
                <w:b/>
                <w:szCs w:val="21"/>
              </w:rPr>
              <w:t>教学</w:t>
            </w:r>
            <w:r>
              <w:rPr>
                <w:rFonts w:ascii="楷体" w:hAnsi="楷体" w:eastAsia="楷体"/>
                <w:b/>
                <w:szCs w:val="21"/>
              </w:rPr>
              <w:t>内容和要求</w:t>
            </w:r>
          </w:p>
        </w:tc>
        <w:tc>
          <w:tcPr>
            <w:tcW w:w="802" w:type="dxa"/>
            <w:vAlign w:val="center"/>
          </w:tcPr>
          <w:p>
            <w:pPr>
              <w:jc w:val="center"/>
              <w:rPr>
                <w:rFonts w:ascii="楷体" w:hAnsi="楷体" w:eastAsia="楷体"/>
                <w:b/>
                <w:szCs w:val="21"/>
              </w:rPr>
            </w:pPr>
            <w:r>
              <w:rPr>
                <w:rFonts w:ascii="楷体" w:hAnsi="楷体" w:eastAsia="楷体"/>
                <w:b/>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left"/>
              <w:rPr>
                <w:rFonts w:ascii="楷体" w:hAnsi="楷体" w:eastAsia="楷体"/>
                <w:sz w:val="24"/>
              </w:rPr>
            </w:pPr>
            <w:r>
              <w:rPr>
                <w:rFonts w:hint="eastAsia" w:ascii="楷体" w:hAnsi="楷体" w:eastAsia="楷体"/>
                <w:sz w:val="24"/>
              </w:rPr>
              <w:t>1</w:t>
            </w:r>
          </w:p>
        </w:tc>
        <w:tc>
          <w:tcPr>
            <w:tcW w:w="1134" w:type="dxa"/>
            <w:vAlign w:val="center"/>
          </w:tcPr>
          <w:p>
            <w:pPr>
              <w:jc w:val="left"/>
              <w:rPr>
                <w:rFonts w:ascii="楷体" w:hAnsi="楷体" w:eastAsia="楷体"/>
                <w:sz w:val="24"/>
              </w:rPr>
            </w:pPr>
            <w:r>
              <w:rPr>
                <w:rFonts w:hint="eastAsia" w:ascii="楷体" w:hAnsi="楷体" w:eastAsia="楷体"/>
                <w:sz w:val="24"/>
              </w:rPr>
              <w:t>新能源汽车概论</w:t>
            </w:r>
          </w:p>
        </w:tc>
        <w:tc>
          <w:tcPr>
            <w:tcW w:w="6615" w:type="dxa"/>
            <w:vAlign w:val="center"/>
          </w:tcPr>
          <w:p>
            <w:pPr>
              <w:widowControl/>
              <w:jc w:val="left"/>
              <w:textAlignment w:val="top"/>
              <w:rPr>
                <w:rFonts w:ascii="楷体" w:hAnsi="楷体" w:eastAsia="楷体"/>
                <w:szCs w:val="21"/>
              </w:rPr>
            </w:pPr>
            <w:r>
              <w:rPr>
                <w:rFonts w:hint="eastAsia" w:ascii="楷体" w:hAnsi="楷体" w:eastAsia="楷体"/>
                <w:szCs w:val="21"/>
              </w:rPr>
              <w:t>主要教学内容：国内外新能源汽车现状与发展趋势</w:t>
            </w:r>
            <w:r>
              <w:rPr>
                <w:rFonts w:hint="eastAsia" w:ascii="楷体" w:hAnsi="楷体" w:eastAsia="楷体"/>
                <w:szCs w:val="21"/>
                <w:lang w:eastAsia="zh-CN"/>
              </w:rPr>
              <w:t>；</w:t>
            </w:r>
            <w:r>
              <w:rPr>
                <w:rFonts w:hint="eastAsia" w:ascii="楷体" w:hAnsi="楷体" w:eastAsia="楷体"/>
                <w:szCs w:val="21"/>
              </w:rPr>
              <w:t xml:space="preserve"> 新能源汽车类型与电池概述</w:t>
            </w:r>
            <w:r>
              <w:rPr>
                <w:rFonts w:hint="eastAsia" w:ascii="楷体" w:hAnsi="楷体" w:eastAsia="楷体"/>
                <w:szCs w:val="21"/>
                <w:lang w:eastAsia="zh-CN"/>
              </w:rPr>
              <w:t>；</w:t>
            </w:r>
            <w:r>
              <w:rPr>
                <w:rFonts w:hint="eastAsia" w:ascii="楷体" w:hAnsi="楷体" w:eastAsia="楷体"/>
                <w:szCs w:val="21"/>
              </w:rPr>
              <w:t xml:space="preserve"> 混合动力汽车的技术特点和驱动方式</w:t>
            </w:r>
            <w:r>
              <w:rPr>
                <w:rFonts w:hint="eastAsia" w:ascii="楷体" w:hAnsi="楷体" w:eastAsia="楷体"/>
                <w:szCs w:val="21"/>
                <w:lang w:eastAsia="zh-CN"/>
              </w:rPr>
              <w:t>；</w:t>
            </w:r>
            <w:r>
              <w:rPr>
                <w:rFonts w:hint="eastAsia" w:ascii="楷体" w:hAnsi="楷体" w:eastAsia="楷体"/>
                <w:szCs w:val="21"/>
              </w:rPr>
              <w:t xml:space="preserve"> 纯电动汽车的技术特点和驱动方式</w:t>
            </w:r>
            <w:r>
              <w:rPr>
                <w:rFonts w:hint="eastAsia" w:ascii="楷体" w:hAnsi="楷体" w:eastAsia="楷体"/>
                <w:szCs w:val="21"/>
                <w:lang w:eastAsia="zh-CN"/>
              </w:rPr>
              <w:t>；</w:t>
            </w:r>
            <w:r>
              <w:rPr>
                <w:rFonts w:hint="eastAsia" w:ascii="楷体" w:hAnsi="楷体" w:eastAsia="楷体"/>
                <w:szCs w:val="21"/>
              </w:rPr>
              <w:t xml:space="preserve"> 新能源汽车功能操作。</w:t>
            </w:r>
          </w:p>
          <w:p>
            <w:pPr>
              <w:jc w:val="left"/>
              <w:rPr>
                <w:rFonts w:ascii="楷体" w:hAnsi="楷体" w:eastAsia="楷体"/>
                <w:sz w:val="24"/>
              </w:rPr>
            </w:pPr>
            <w:r>
              <w:rPr>
                <w:rFonts w:hint="eastAsia" w:ascii="楷体" w:hAnsi="楷体" w:eastAsia="楷体"/>
                <w:szCs w:val="21"/>
              </w:rPr>
              <w:t>主要教学要求：了解新能源汽车的现状与发展趋势；掌握新能源汽车类型和动力电池相关知识；了解纯电动汽车、混合动力汽车技术特点和驱动方式；熟悉新能源汽车安全防护知识能够规范操作新能源汽车各功能。了解电驱动系统组成，掌握混合动力电动汽车、纯电动汽车构造。</w:t>
            </w:r>
          </w:p>
        </w:tc>
        <w:tc>
          <w:tcPr>
            <w:tcW w:w="802" w:type="dxa"/>
            <w:vMerge w:val="restart"/>
            <w:vAlign w:val="center"/>
          </w:tcPr>
          <w:p>
            <w:pPr>
              <w:jc w:val="center"/>
              <w:rPr>
                <w:rFonts w:ascii="楷体" w:hAnsi="楷体" w:eastAsia="楷体"/>
                <w:sz w:val="24"/>
              </w:rPr>
            </w:pPr>
            <w:r>
              <w:rPr>
                <w:rFonts w:hint="eastAsia" w:ascii="楷体" w:hAnsi="楷体" w:eastAsia="楷体"/>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left"/>
              <w:rPr>
                <w:rFonts w:ascii="楷体" w:hAnsi="楷体" w:eastAsia="楷体"/>
                <w:sz w:val="24"/>
              </w:rPr>
            </w:pPr>
            <w:r>
              <w:rPr>
                <w:rFonts w:hint="eastAsia" w:ascii="楷体" w:hAnsi="楷体" w:eastAsia="楷体"/>
                <w:sz w:val="24"/>
              </w:rPr>
              <w:t>2</w:t>
            </w:r>
          </w:p>
        </w:tc>
        <w:tc>
          <w:tcPr>
            <w:tcW w:w="1134" w:type="dxa"/>
            <w:vAlign w:val="center"/>
          </w:tcPr>
          <w:p>
            <w:pPr>
              <w:jc w:val="left"/>
              <w:rPr>
                <w:rFonts w:ascii="楷体" w:hAnsi="楷体" w:eastAsia="楷体"/>
                <w:sz w:val="24"/>
              </w:rPr>
            </w:pPr>
            <w:r>
              <w:rPr>
                <w:rFonts w:hint="eastAsia" w:ascii="楷体" w:hAnsi="楷体" w:eastAsia="楷体"/>
                <w:sz w:val="24"/>
              </w:rPr>
              <w:t>电动汽车检修</w:t>
            </w:r>
          </w:p>
        </w:tc>
        <w:tc>
          <w:tcPr>
            <w:tcW w:w="6615" w:type="dxa"/>
            <w:vAlign w:val="center"/>
          </w:tcPr>
          <w:p>
            <w:pPr>
              <w:jc w:val="left"/>
              <w:rPr>
                <w:rFonts w:ascii="楷体" w:hAnsi="楷体" w:eastAsia="楷体"/>
                <w:sz w:val="24"/>
              </w:rPr>
            </w:pPr>
            <w:r>
              <w:rPr>
                <w:rFonts w:hint="eastAsia" w:ascii="楷体" w:hAnsi="楷体" w:eastAsia="楷体"/>
                <w:sz w:val="24"/>
              </w:rPr>
              <w:t>主要教学内容：认识电动汽车；电动汽车的动力电池使用与维护；电动汽车的电动机的检修；认识电动汽车的逆变器与变频器；纯电动汽车的检修；混合动力汽车的检修；电动汽车车型实例；</w:t>
            </w:r>
          </w:p>
          <w:p>
            <w:pPr>
              <w:jc w:val="left"/>
              <w:rPr>
                <w:rFonts w:ascii="楷体" w:hAnsi="楷体" w:eastAsia="楷体"/>
                <w:sz w:val="24"/>
              </w:rPr>
            </w:pPr>
            <w:r>
              <w:rPr>
                <w:rFonts w:hint="eastAsia" w:ascii="楷体" w:hAnsi="楷体" w:eastAsia="楷体"/>
                <w:sz w:val="24"/>
              </w:rPr>
              <w:t>主要教学要求：了解电动汽车的结构原理；掌握电动汽车原理与维修的基础知识；具有电动汽车使用、维护、检测及故障诊断排除的能力；能胜任电动汽车后市场前台接待、电动汽车维修工、电动汽车质检员等一线岗位工作要求。</w:t>
            </w:r>
          </w:p>
        </w:tc>
        <w:tc>
          <w:tcPr>
            <w:tcW w:w="802" w:type="dxa"/>
            <w:vMerge w:val="continue"/>
            <w:vAlign w:val="center"/>
          </w:tcPr>
          <w:p>
            <w:pPr>
              <w:jc w:val="left"/>
              <w:rPr>
                <w:rFonts w:ascii="楷体" w:hAnsi="楷体" w:eastAsia="楷体"/>
                <w:sz w:val="24"/>
              </w:rPr>
            </w:pPr>
          </w:p>
        </w:tc>
      </w:tr>
    </w:tbl>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71" w:name="_Toc499984962"/>
      <w:bookmarkStart w:id="72" w:name="_Toc1818717020"/>
      <w:bookmarkStart w:id="73" w:name="_Toc491100442"/>
      <w:r>
        <w:rPr>
          <w:rFonts w:hint="eastAsia" w:ascii="楷体" w:hAnsi="楷体" w:eastAsia="楷体"/>
          <w:bCs/>
          <w:kern w:val="0"/>
          <w:sz w:val="26"/>
          <w:szCs w:val="26"/>
        </w:rPr>
        <w:t>（</w:t>
      </w:r>
      <w:r>
        <w:rPr>
          <w:rFonts w:ascii="楷体" w:hAnsi="楷体" w:eastAsia="楷体"/>
          <w:bCs/>
          <w:kern w:val="0"/>
          <w:sz w:val="26"/>
          <w:szCs w:val="26"/>
        </w:rPr>
        <w:t>四）</w:t>
      </w:r>
      <w:r>
        <w:rPr>
          <w:rFonts w:hint="eastAsia" w:ascii="楷体" w:hAnsi="楷体" w:eastAsia="楷体"/>
          <w:bCs/>
          <w:kern w:val="0"/>
          <w:sz w:val="26"/>
          <w:szCs w:val="26"/>
        </w:rPr>
        <w:t>认知实习、跟岗实习、</w:t>
      </w:r>
      <w:r>
        <w:rPr>
          <w:rFonts w:ascii="楷体" w:hAnsi="楷体" w:eastAsia="楷体"/>
          <w:bCs/>
          <w:kern w:val="0"/>
          <w:sz w:val="26"/>
          <w:szCs w:val="26"/>
        </w:rPr>
        <w:t>顶岗实习</w:t>
      </w:r>
      <w:bookmarkEnd w:id="71"/>
      <w:bookmarkEnd w:id="72"/>
      <w:bookmarkEnd w:id="73"/>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本</w:t>
      </w:r>
      <w:r>
        <w:rPr>
          <w:rFonts w:ascii="仿宋" w:hAnsi="仿宋" w:eastAsia="仿宋"/>
          <w:kern w:val="0"/>
          <w:sz w:val="26"/>
          <w:szCs w:val="26"/>
        </w:rPr>
        <w:t>课程是</w:t>
      </w:r>
      <w:r>
        <w:rPr>
          <w:rFonts w:hint="eastAsia" w:ascii="仿宋" w:hAnsi="仿宋" w:eastAsia="仿宋"/>
          <w:kern w:val="0"/>
          <w:sz w:val="26"/>
          <w:szCs w:val="26"/>
        </w:rPr>
        <w:t>汽车运用与维修</w:t>
      </w:r>
      <w:r>
        <w:rPr>
          <w:rFonts w:ascii="仿宋" w:hAnsi="仿宋" w:eastAsia="仿宋"/>
          <w:kern w:val="0"/>
          <w:sz w:val="26"/>
          <w:szCs w:val="26"/>
        </w:rPr>
        <w:t>专业的</w:t>
      </w:r>
      <w:r>
        <w:rPr>
          <w:rFonts w:hint="eastAsia" w:ascii="仿宋" w:hAnsi="仿宋" w:eastAsia="仿宋"/>
          <w:kern w:val="0"/>
          <w:sz w:val="26"/>
          <w:szCs w:val="26"/>
        </w:rPr>
        <w:t>综合</w:t>
      </w:r>
      <w:r>
        <w:rPr>
          <w:rFonts w:ascii="仿宋" w:hAnsi="仿宋" w:eastAsia="仿宋"/>
          <w:kern w:val="0"/>
          <w:sz w:val="26"/>
          <w:szCs w:val="26"/>
        </w:rPr>
        <w:t>岗位实践课程，是本专业人才培养目标达成的</w:t>
      </w:r>
      <w:r>
        <w:rPr>
          <w:rFonts w:hint="eastAsia" w:ascii="仿宋" w:hAnsi="仿宋" w:eastAsia="仿宋"/>
          <w:kern w:val="0"/>
          <w:sz w:val="26"/>
          <w:szCs w:val="26"/>
        </w:rPr>
        <w:t>关键实践性教学环节，是巩固、拓展专业知识和提高技能水平，提升综合职业能力以及适应职业变化能力的重要途径。通过顶岗实习，更</w:t>
      </w:r>
      <w:r>
        <w:rPr>
          <w:rFonts w:ascii="仿宋" w:hAnsi="仿宋" w:eastAsia="仿宋"/>
          <w:kern w:val="0"/>
          <w:sz w:val="26"/>
          <w:szCs w:val="26"/>
        </w:rPr>
        <w:t>好地将理论与实践相结合，在实习过程中综合运用所学知识，解决生产过程中的实际问题，</w:t>
      </w:r>
      <w:r>
        <w:rPr>
          <w:rFonts w:hint="eastAsia" w:ascii="仿宋" w:hAnsi="仿宋" w:eastAsia="仿宋"/>
          <w:kern w:val="0"/>
          <w:sz w:val="26"/>
          <w:szCs w:val="26"/>
        </w:rPr>
        <w:t>增强服务意识和岗位责任感，为学生的就业</w:t>
      </w:r>
      <w:r>
        <w:rPr>
          <w:rFonts w:ascii="仿宋" w:hAnsi="仿宋" w:eastAsia="仿宋"/>
          <w:kern w:val="0"/>
          <w:sz w:val="26"/>
          <w:szCs w:val="26"/>
        </w:rPr>
        <w:t>和</w:t>
      </w:r>
      <w:r>
        <w:rPr>
          <w:rFonts w:hint="eastAsia" w:ascii="仿宋" w:hAnsi="仿宋" w:eastAsia="仿宋"/>
          <w:kern w:val="0"/>
          <w:sz w:val="26"/>
          <w:szCs w:val="26"/>
        </w:rPr>
        <w:t>职业发展奠定基础。</w:t>
      </w:r>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74" w:name="_Toc212995892"/>
      <w:bookmarkStart w:id="75" w:name="_Toc1120221049"/>
      <w:bookmarkStart w:id="76" w:name="_Toc1651253729"/>
      <w:r>
        <w:rPr>
          <w:rFonts w:hint="eastAsia" w:ascii="楷体" w:hAnsi="楷体" w:eastAsia="楷体"/>
          <w:bCs/>
          <w:kern w:val="0"/>
          <w:sz w:val="26"/>
          <w:szCs w:val="26"/>
        </w:rPr>
        <w:t>（</w:t>
      </w:r>
      <w:r>
        <w:rPr>
          <w:rFonts w:ascii="楷体" w:hAnsi="楷体" w:eastAsia="楷体"/>
          <w:bCs/>
          <w:kern w:val="0"/>
          <w:sz w:val="26"/>
          <w:szCs w:val="26"/>
        </w:rPr>
        <w:t>五）</w:t>
      </w:r>
      <w:r>
        <w:rPr>
          <w:rFonts w:hint="eastAsia" w:ascii="楷体" w:hAnsi="楷体" w:eastAsia="楷体"/>
          <w:bCs/>
          <w:kern w:val="0"/>
          <w:sz w:val="26"/>
          <w:szCs w:val="26"/>
        </w:rPr>
        <w:t>选修</w:t>
      </w:r>
      <w:r>
        <w:rPr>
          <w:rFonts w:ascii="楷体" w:hAnsi="楷体" w:eastAsia="楷体"/>
          <w:bCs/>
          <w:kern w:val="0"/>
          <w:sz w:val="26"/>
          <w:szCs w:val="26"/>
        </w:rPr>
        <w:t>课</w:t>
      </w:r>
      <w:r>
        <w:rPr>
          <w:rFonts w:hint="eastAsia" w:ascii="楷体" w:hAnsi="楷体" w:eastAsia="楷体"/>
          <w:bCs/>
          <w:kern w:val="0"/>
          <w:sz w:val="26"/>
          <w:szCs w:val="26"/>
        </w:rPr>
        <w:t>程</w:t>
      </w:r>
      <w:bookmarkEnd w:id="74"/>
      <w:bookmarkEnd w:id="75"/>
      <w:bookmarkEnd w:id="76"/>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ascii="仿宋" w:hAnsi="仿宋" w:eastAsia="仿宋"/>
          <w:kern w:val="0"/>
          <w:sz w:val="26"/>
          <w:szCs w:val="26"/>
        </w:rPr>
        <w:t>包括</w:t>
      </w:r>
      <w:r>
        <w:rPr>
          <w:rFonts w:hint="eastAsia" w:ascii="仿宋" w:hAnsi="仿宋" w:eastAsia="仿宋"/>
          <w:kern w:val="0"/>
          <w:sz w:val="26"/>
          <w:szCs w:val="26"/>
        </w:rPr>
        <w:t>劳动教育、职业素养、中华优秀传统文化、心理健康教育、礼仪、汽车车身修复技术、汽车美容与装潢、汽车整车与配件营销、汽车安全驾驶技术、汽车服务企业管理、汽车维修资料检索、技术讲座等</w:t>
      </w:r>
      <w:r>
        <w:rPr>
          <w:rFonts w:ascii="仿宋" w:hAnsi="仿宋" w:eastAsia="仿宋"/>
          <w:kern w:val="0"/>
          <w:sz w:val="26"/>
          <w:szCs w:val="26"/>
        </w:rPr>
        <w:t>。</w:t>
      </w:r>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77" w:name="_Toc237554231"/>
      <w:bookmarkStart w:id="78" w:name="_Toc641013877"/>
      <w:bookmarkStart w:id="79" w:name="_Toc1385309667"/>
      <w:r>
        <w:rPr>
          <w:rFonts w:hint="eastAsia" w:ascii="楷体" w:hAnsi="楷体" w:eastAsia="楷体"/>
          <w:bCs/>
          <w:kern w:val="0"/>
          <w:sz w:val="26"/>
          <w:szCs w:val="26"/>
        </w:rPr>
        <w:t>（六）</w:t>
      </w:r>
      <w:r>
        <w:rPr>
          <w:rFonts w:ascii="楷体" w:hAnsi="楷体" w:eastAsia="楷体"/>
          <w:bCs/>
          <w:kern w:val="0"/>
          <w:sz w:val="26"/>
          <w:szCs w:val="26"/>
        </w:rPr>
        <w:t>课程结构</w:t>
      </w:r>
      <w:bookmarkEnd w:id="77"/>
      <w:bookmarkEnd w:id="78"/>
      <w:bookmarkEnd w:id="79"/>
    </w:p>
    <w:bookmarkEnd w:id="5"/>
    <w:p>
      <w:pPr>
        <w:adjustRightInd w:val="0"/>
        <w:snapToGrid w:val="0"/>
        <w:spacing w:line="420" w:lineRule="exact"/>
        <w:ind w:firstLine="520" w:firstLineChars="200"/>
        <w:rPr>
          <w:rFonts w:ascii="仿宋" w:hAnsi="仿宋" w:eastAsia="仿宋"/>
          <w:sz w:val="26"/>
          <w:szCs w:val="26"/>
        </w:rPr>
        <w:sectPr>
          <w:footerReference r:id="rId7" w:type="default"/>
          <w:pgSz w:w="11906" w:h="16838"/>
          <w:pgMar w:top="1418" w:right="1418" w:bottom="1134" w:left="1418" w:header="851" w:footer="850" w:gutter="0"/>
          <w:pgNumType w:fmt="decimal" w:start="1"/>
          <w:cols w:space="720" w:num="1"/>
          <w:docGrid w:type="lines" w:linePitch="312" w:charSpace="0"/>
        </w:sectPr>
      </w:pPr>
      <w:r>
        <w:rPr>
          <w:rFonts w:hint="eastAsia" w:ascii="仿宋" w:hAnsi="仿宋" w:eastAsia="仿宋"/>
          <w:sz w:val="26"/>
          <w:szCs w:val="26"/>
        </w:rPr>
        <w:t>汽车运用与维修专业课程体系结构如下图所示</w:t>
      </w:r>
    </w:p>
    <w:p>
      <w:pPr>
        <w:rPr>
          <w:rFonts w:ascii="仿宋" w:hAnsi="仿宋" w:eastAsia="仿宋"/>
          <w:sz w:val="28"/>
          <w:szCs w:val="28"/>
        </w:rPr>
      </w:pPr>
    </w:p>
    <w:p>
      <w:pPr>
        <w:rPr>
          <w:rFonts w:ascii="仿宋" w:hAnsi="仿宋" w:eastAsia="仿宋"/>
          <w:sz w:val="28"/>
          <w:szCs w:val="28"/>
        </w:rPr>
      </w:pPr>
      <w:r>
        <mc:AlternateContent>
          <mc:Choice Requires="wps">
            <w:drawing>
              <wp:anchor distT="0" distB="0" distL="114300" distR="114300" simplePos="0" relativeHeight="251666432" behindDoc="0" locked="0" layoutInCell="1" allowOverlap="1">
                <wp:simplePos x="0" y="0"/>
                <wp:positionH relativeFrom="column">
                  <wp:posOffset>-242570</wp:posOffset>
                </wp:positionH>
                <wp:positionV relativeFrom="paragraph">
                  <wp:posOffset>-367030</wp:posOffset>
                </wp:positionV>
                <wp:extent cx="9966325" cy="367665"/>
                <wp:effectExtent l="0" t="0" r="15875" b="13335"/>
                <wp:wrapNone/>
                <wp:docPr id="299" name="矩形 299"/>
                <wp:cNvGraphicFramePr/>
                <a:graphic xmlns:a="http://schemas.openxmlformats.org/drawingml/2006/main">
                  <a:graphicData uri="http://schemas.microsoft.com/office/word/2010/wordprocessingShape">
                    <wps:wsp>
                      <wps:cNvSpPr/>
                      <wps:spPr>
                        <a:xfrm>
                          <a:off x="0" y="0"/>
                          <a:ext cx="9966325" cy="367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420" w:lineRule="exact"/>
                              <w:jc w:val="center"/>
                              <w:rPr>
                                <w:rFonts w:ascii="仿宋" w:hAnsi="仿宋" w:eastAsia="仿宋"/>
                                <w:b/>
                                <w:sz w:val="32"/>
                                <w:szCs w:val="32"/>
                              </w:rPr>
                            </w:pPr>
                            <w:r>
                              <w:rPr>
                                <w:rFonts w:hint="eastAsia" w:ascii="仿宋" w:hAnsi="仿宋" w:eastAsia="仿宋"/>
                                <w:b/>
                                <w:sz w:val="32"/>
                                <w:szCs w:val="32"/>
                              </w:rPr>
                              <w:t>汽车运用与维修专业课程体系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pt;margin-top:-28.9pt;height:28.95pt;width:784.75pt;z-index:251666432;v-text-anchor:middle;mso-width-relative:page;mso-height-relative:page;" fillcolor="#4472C4 [3204]" filled="t" stroked="t" coordsize="21600,21600" o:gfxdata="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FsVpfZAAAA&#10;CQEAAA8AAAAAAAAAAQAgAAAAIgAAAGRycy9kb3ducmV2LnhtbFBLAQIUABQAAAAIAIdO4kDC7HUK&#10;jgIAACQFAAAOAAAAAAAAAAEAIAAAACgBAABkcnMvZTJvRG9jLnhtbFBLBQYAAAAABgAGAFkBAAAo&#10;BgAAAAA=&#10;">
                <v:fill on="t" focussize="0,0"/>
                <v:stroke weight="1pt" color="#2F528F [3204]" miterlimit="8" joinstyle="miter"/>
                <v:imagedata o:title=""/>
                <o:lock v:ext="edit" aspectratio="f"/>
                <v:textbox>
                  <w:txbxContent>
                    <w:p>
                      <w:pPr>
                        <w:spacing w:line="420" w:lineRule="exact"/>
                        <w:jc w:val="center"/>
                        <w:rPr>
                          <w:rFonts w:ascii="仿宋" w:hAnsi="仿宋" w:eastAsia="仿宋"/>
                          <w:b/>
                          <w:sz w:val="32"/>
                          <w:szCs w:val="32"/>
                        </w:rPr>
                      </w:pPr>
                      <w:r>
                        <w:rPr>
                          <w:rFonts w:hint="eastAsia" w:ascii="仿宋" w:hAnsi="仿宋" w:eastAsia="仿宋"/>
                          <w:b/>
                          <w:sz w:val="32"/>
                          <w:szCs w:val="32"/>
                        </w:rPr>
                        <w:t>汽车运用与维修专业课程体系</w:t>
                      </w:r>
                    </w:p>
                  </w:txbxContent>
                </v:textbox>
              </v:rect>
            </w:pict>
          </mc:Fallback>
        </mc:AlternateContent>
      </w:r>
      <w:r>
        <w:drawing>
          <wp:anchor distT="0" distB="0" distL="114300" distR="114300" simplePos="0" relativeHeight="251665408" behindDoc="0" locked="0" layoutInCell="1" allowOverlap="1">
            <wp:simplePos x="0" y="0"/>
            <wp:positionH relativeFrom="column">
              <wp:posOffset>4796155</wp:posOffset>
            </wp:positionH>
            <wp:positionV relativeFrom="paragraph">
              <wp:posOffset>4700270</wp:posOffset>
            </wp:positionV>
            <wp:extent cx="2781300" cy="826135"/>
            <wp:effectExtent l="0" t="0" r="0" b="0"/>
            <wp:wrapNone/>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81300" cy="826135"/>
                    </a:xfrm>
                    <a:prstGeom prst="rect">
                      <a:avLst/>
                    </a:prstGeom>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column">
                  <wp:posOffset>9324340</wp:posOffset>
                </wp:positionH>
                <wp:positionV relativeFrom="paragraph">
                  <wp:posOffset>4445</wp:posOffset>
                </wp:positionV>
                <wp:extent cx="403225" cy="5521960"/>
                <wp:effectExtent l="0" t="0" r="15875" b="21590"/>
                <wp:wrapNone/>
                <wp:docPr id="301" name="矩形 301"/>
                <wp:cNvGraphicFramePr/>
                <a:graphic xmlns:a="http://schemas.openxmlformats.org/drawingml/2006/main">
                  <a:graphicData uri="http://schemas.microsoft.com/office/word/2010/wordprocessingShape">
                    <wps:wsp>
                      <wps:cNvSpPr/>
                      <wps:spPr>
                        <a:xfrm>
                          <a:off x="0" y="0"/>
                          <a:ext cx="403225" cy="5521960"/>
                        </a:xfrm>
                        <a:prstGeom prst="rect">
                          <a:avLst/>
                        </a:prstGeom>
                        <a:solidFill>
                          <a:srgbClr val="4472C4"/>
                        </a:solidFill>
                        <a:ln w="12700" cap="flat" cmpd="sng" algn="ctr">
                          <a:solidFill>
                            <a:srgbClr val="4472C4">
                              <a:shade val="50000"/>
                            </a:srgbClr>
                          </a:solidFill>
                          <a:prstDash val="solid"/>
                          <a:miter lim="800000"/>
                        </a:ln>
                        <a:effectLst/>
                      </wps:spPr>
                      <wps:txbx>
                        <w:txbxContent>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以就业为导向</w:t>
                            </w:r>
                          </w:p>
                          <w:p>
                            <w:pPr>
                              <w:jc w:val="center"/>
                              <w:rPr>
                                <w:rFonts w:ascii="仿宋" w:hAnsi="仿宋" w:eastAsia="仿宋"/>
                                <w:b/>
                                <w:color w:val="FFFFFF" w:themeColor="background1"/>
                                <w:sz w:val="24"/>
                                <w14:textFill>
                                  <w14:solidFill>
                                    <w14:schemeClr w14:val="bg1"/>
                                  </w14:solidFill>
                                </w14:textFill>
                              </w:rPr>
                            </w:pPr>
                          </w:p>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以能力为本位</w:t>
                            </w:r>
                          </w:p>
                          <w:p>
                            <w:pPr>
                              <w:jc w:val="center"/>
                              <w:rPr>
                                <w:rFonts w:ascii="仿宋" w:hAnsi="仿宋" w:eastAsia="仿宋"/>
                                <w:b/>
                                <w:color w:val="FFFFFF" w:themeColor="background1"/>
                                <w:sz w:val="24"/>
                                <w14:textFill>
                                  <w14:solidFill>
                                    <w14:schemeClr w14:val="bg1"/>
                                  </w14:solidFill>
                                </w14:textFill>
                              </w:rPr>
                            </w:pPr>
                          </w:p>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以服务为宗旨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4.2pt;margin-top:0.35pt;height:434.8pt;width:31.75pt;z-index:251668480;v-text-anchor:middle;mso-width-relative:page;mso-height-relative:page;" fillcolor="#4472C4" filled="t" stroked="t" coordsize="21600,21600" o:gfxdata="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tfbNs2gAA&#10;AAoBAAAPAAAAAAAAAAEAIAAAACIAAABkcnMvZG93bnJldi54bWxQSwECFAAUAAAACACHTuJAyoGm&#10;zI4CAAAyBQAADgAAAAAAAAABACAAAAApAQAAZHJzL2Uyb0RvYy54bWxQSwUGAAAAAAYABgBZAQAA&#10;KQYAAAAA&#10;">
                <v:fill on="t" focussize="0,0"/>
                <v:stroke weight="1pt" color="#2F528F" miterlimit="8" joinstyle="miter"/>
                <v:imagedata o:title=""/>
                <o:lock v:ext="edit" aspectratio="f"/>
                <v:textbox>
                  <w:txbxContent>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以就业为导向</w:t>
                      </w:r>
                    </w:p>
                    <w:p>
                      <w:pPr>
                        <w:jc w:val="center"/>
                        <w:rPr>
                          <w:rFonts w:ascii="仿宋" w:hAnsi="仿宋" w:eastAsia="仿宋"/>
                          <w:b/>
                          <w:color w:val="FFFFFF" w:themeColor="background1"/>
                          <w:sz w:val="24"/>
                          <w14:textFill>
                            <w14:solidFill>
                              <w14:schemeClr w14:val="bg1"/>
                            </w14:solidFill>
                          </w14:textFill>
                        </w:rPr>
                      </w:pPr>
                    </w:p>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以能力为本位</w:t>
                      </w:r>
                    </w:p>
                    <w:p>
                      <w:pPr>
                        <w:jc w:val="center"/>
                        <w:rPr>
                          <w:rFonts w:ascii="仿宋" w:hAnsi="仿宋" w:eastAsia="仿宋"/>
                          <w:b/>
                          <w:color w:val="FFFFFF" w:themeColor="background1"/>
                          <w:sz w:val="24"/>
                          <w14:textFill>
                            <w14:solidFill>
                              <w14:schemeClr w14:val="bg1"/>
                            </w14:solidFill>
                          </w14:textFill>
                        </w:rPr>
                      </w:pPr>
                    </w:p>
                    <w:p>
                      <w:pPr>
                        <w:jc w:val="center"/>
                        <w:rPr>
                          <w:rFonts w:ascii="仿宋" w:hAnsi="仿宋" w:eastAsia="仿宋"/>
                          <w:b/>
                          <w:color w:val="FFFFFF" w:themeColor="background1"/>
                          <w:sz w:val="24"/>
                          <w14:textFill>
                            <w14:solidFill>
                              <w14:schemeClr w14:val="bg1"/>
                            </w14:solidFill>
                          </w14:textFill>
                        </w:rPr>
                      </w:pPr>
                      <w:r>
                        <w:rPr>
                          <w:rFonts w:hint="eastAsia" w:ascii="仿宋" w:hAnsi="仿宋" w:eastAsia="仿宋"/>
                          <w:b/>
                          <w:color w:val="FFFFFF" w:themeColor="background1"/>
                          <w:sz w:val="24"/>
                          <w14:textFill>
                            <w14:solidFill>
                              <w14:schemeClr w14:val="bg1"/>
                            </w14:solidFill>
                          </w14:textFill>
                        </w:rPr>
                        <w:t>以服务为宗旨</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4445</wp:posOffset>
                </wp:positionV>
                <wp:extent cx="403225" cy="5521960"/>
                <wp:effectExtent l="0" t="0" r="15875" b="21590"/>
                <wp:wrapNone/>
                <wp:docPr id="300" name="矩形 300"/>
                <wp:cNvGraphicFramePr/>
                <a:graphic xmlns:a="http://schemas.openxmlformats.org/drawingml/2006/main">
                  <a:graphicData uri="http://schemas.microsoft.com/office/word/2010/wordprocessingShape">
                    <wps:wsp>
                      <wps:cNvSpPr/>
                      <wps:spPr>
                        <a:xfrm>
                          <a:off x="0" y="0"/>
                          <a:ext cx="403225" cy="5521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b/>
                                <w:sz w:val="24"/>
                              </w:rPr>
                            </w:pPr>
                            <w:r>
                              <w:rPr>
                                <w:rFonts w:hint="eastAsia" w:ascii="仿宋" w:hAnsi="仿宋" w:eastAsia="仿宋"/>
                                <w:b/>
                                <w:sz w:val="24"/>
                              </w:rPr>
                              <w:t>岗课赛证融通、</w:t>
                            </w:r>
                          </w:p>
                          <w:p>
                            <w:pPr>
                              <w:jc w:val="center"/>
                              <w:rPr>
                                <w:rFonts w:ascii="仿宋" w:hAnsi="仿宋" w:eastAsia="仿宋"/>
                                <w:b/>
                                <w:sz w:val="24"/>
                              </w:rPr>
                            </w:pPr>
                            <w:r>
                              <w:rPr>
                                <w:rFonts w:hint="eastAsia" w:ascii="仿宋" w:hAnsi="仿宋" w:eastAsia="仿宋"/>
                                <w:b/>
                                <w:sz w:val="24"/>
                              </w:rPr>
                              <w:t>思政教育融合的职业素质培养模块体系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5pt;margin-top:0.35pt;height:434.8pt;width:31.75pt;z-index:251667456;v-text-anchor:middle;mso-width-relative:page;mso-height-relative:page;" fillcolor="#4472C4 [3204]" filled="t" stroked="t" coordsize="21600,21600" o:gfxdata="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jdV7zYAAAABwEA&#10;AA8AAAAAAAAAAQAgAAAAIgAAAGRycy9kb3ducmV2LnhtbFBLAQIUABQAAAAIAIdO4kCYc8IhjAIA&#10;ACQFAAAOAAAAAAAAAAEAIAAAACcBAABkcnMvZTJvRG9jLnhtbFBLBQYAAAAABgAGAFkBAAAlBgAA&#10;AAA=&#10;">
                <v:fill on="t" focussize="0,0"/>
                <v:stroke weight="1pt" color="#2F528F [3204]"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岗课赛证融通、</w:t>
                      </w:r>
                    </w:p>
                    <w:p>
                      <w:pPr>
                        <w:jc w:val="center"/>
                        <w:rPr>
                          <w:rFonts w:ascii="仿宋" w:hAnsi="仿宋" w:eastAsia="仿宋"/>
                          <w:b/>
                          <w:sz w:val="24"/>
                        </w:rPr>
                      </w:pPr>
                      <w:r>
                        <w:rPr>
                          <w:rFonts w:hint="eastAsia" w:ascii="仿宋" w:hAnsi="仿宋" w:eastAsia="仿宋"/>
                          <w:b/>
                          <w:sz w:val="24"/>
                        </w:rPr>
                        <w:t>思政教育融合的职业素质培养模块体系</w:t>
                      </w:r>
                    </w:p>
                  </w:txbxContent>
                </v:textbox>
              </v:rect>
            </w:pict>
          </mc:Fallback>
        </mc:AlternateContent>
      </w:r>
      <w:r>
        <w:drawing>
          <wp:inline distT="0" distB="0" distL="0" distR="0">
            <wp:extent cx="9309735" cy="4741545"/>
            <wp:effectExtent l="0" t="0" r="5715" b="1905"/>
            <wp:docPr id="288" name="图片 288" descr="C:\Users\DELL\Desktop\WPS图片(1).jpgWPS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C:\Users\DELL\Desktop\WPS图片(1).jpgWPS图片(1)"/>
                    <pic:cNvPicPr>
                      <a:picLocks noChangeAspect="1"/>
                    </pic:cNvPicPr>
                  </pic:nvPicPr>
                  <pic:blipFill>
                    <a:blip r:embed="rId13"/>
                    <a:srcRect/>
                    <a:stretch>
                      <a:fillRect/>
                    </a:stretch>
                  </pic:blipFill>
                  <pic:spPr>
                    <a:xfrm>
                      <a:off x="0" y="0"/>
                      <a:ext cx="9316404" cy="4741545"/>
                    </a:xfrm>
                    <a:prstGeom prst="rect">
                      <a:avLst/>
                    </a:prstGeom>
                  </pic:spPr>
                </pic:pic>
              </a:graphicData>
            </a:graphic>
          </wp:inline>
        </w:drawing>
      </w:r>
    </w:p>
    <w:p>
      <w:pPr>
        <w:ind w:firstLine="10080" w:firstLineChars="3600"/>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69504" behindDoc="0" locked="0" layoutInCell="1" allowOverlap="1">
                <wp:simplePos x="0" y="0"/>
                <wp:positionH relativeFrom="column">
                  <wp:posOffset>-246380</wp:posOffset>
                </wp:positionH>
                <wp:positionV relativeFrom="paragraph">
                  <wp:posOffset>375920</wp:posOffset>
                </wp:positionV>
                <wp:extent cx="9974580" cy="368300"/>
                <wp:effectExtent l="0" t="0" r="27305" b="13335"/>
                <wp:wrapNone/>
                <wp:docPr id="302" name="矩形 302"/>
                <wp:cNvGraphicFramePr/>
                <a:graphic xmlns:a="http://schemas.openxmlformats.org/drawingml/2006/main">
                  <a:graphicData uri="http://schemas.microsoft.com/office/word/2010/wordprocessingShape">
                    <wps:wsp>
                      <wps:cNvSpPr/>
                      <wps:spPr>
                        <a:xfrm>
                          <a:off x="0" y="0"/>
                          <a:ext cx="9974481" cy="3681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仿宋" w:hAnsi="仿宋" w:eastAsia="仿宋"/>
                                <w:b/>
                                <w:sz w:val="24"/>
                              </w:rPr>
                            </w:pPr>
                            <w:r>
                              <w:rPr>
                                <w:rFonts w:hint="eastAsia" w:ascii="仿宋" w:hAnsi="仿宋" w:eastAsia="仿宋"/>
                                <w:b/>
                                <w:sz w:val="24"/>
                              </w:rPr>
                              <w:t>技能大赛、社团活动、素质拓展训练、心理讲座、特色德育活动等安排在第二课堂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pt;margin-top:29.6pt;height:29pt;width:785.4pt;z-index:251669504;v-text-anchor:middle;mso-width-relative:page;mso-height-relative:page;" fillcolor="#4472C4 [3204]" filled="t" stroked="t" coordsize="21600,21600" o:gfxdata="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D6F539sA&#10;AAALAQAADwAAAAAAAAABACAAAAAiAAAAZHJzL2Rvd25yZXYueG1sUEsBAhQAFAAAAAgAh07iQAfm&#10;9D+OAgAAJAUAAA4AAAAAAAAAAQAgAAAAKgEAAGRycy9lMm9Eb2MueG1sUEsFBgAAAAAGAAYAWQEA&#10;ACoGAAAAAA==&#10;">
                <v:fill on="t" focussize="0,0"/>
                <v:stroke weight="1pt" color="#2F528F [3204]" miterlimit="8" joinstyle="miter"/>
                <v:imagedata o:title=""/>
                <o:lock v:ext="edit" aspectratio="f"/>
                <v:textbox>
                  <w:txbxContent>
                    <w:p>
                      <w:pPr>
                        <w:jc w:val="center"/>
                        <w:rPr>
                          <w:rFonts w:ascii="仿宋" w:hAnsi="仿宋" w:eastAsia="仿宋"/>
                          <w:b/>
                          <w:sz w:val="24"/>
                        </w:rPr>
                      </w:pPr>
                      <w:r>
                        <w:rPr>
                          <w:rFonts w:hint="eastAsia" w:ascii="仿宋" w:hAnsi="仿宋" w:eastAsia="仿宋"/>
                          <w:b/>
                          <w:sz w:val="24"/>
                        </w:rPr>
                        <w:t>技能大赛、社团活动、素质拓展训练、心理讲座、特色德育活动等安排在第二课堂</w:t>
                      </w:r>
                    </w:p>
                  </w:txbxContent>
                </v:textbox>
              </v:rect>
            </w:pict>
          </mc:Fallback>
        </mc:AlternateContent>
      </w:r>
    </w:p>
    <w:p>
      <w:pPr>
        <w:pStyle w:val="8"/>
        <w:spacing w:line="420" w:lineRule="exact"/>
        <w:rPr>
          <w:rFonts w:ascii="仿宋" w:hAnsi="仿宋" w:eastAsia="仿宋"/>
          <w:bCs/>
          <w:sz w:val="26"/>
          <w:szCs w:val="26"/>
        </w:rPr>
        <w:sectPr>
          <w:pgSz w:w="16838" w:h="11906" w:orient="landscape"/>
          <w:pgMar w:top="567" w:right="567" w:bottom="567" w:left="1417" w:header="851" w:footer="992" w:gutter="0"/>
          <w:pgNumType w:fmt="decimal"/>
          <w:cols w:space="0" w:num="1"/>
          <w:docGrid w:type="lines" w:linePitch="312" w:charSpace="0"/>
        </w:sectPr>
      </w:pP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80" w:name="_Toc730464784"/>
      <w:bookmarkStart w:id="81" w:name="_Toc885051816"/>
      <w:bookmarkStart w:id="82" w:name="_Toc1184090992"/>
      <w:bookmarkStart w:id="83" w:name="_Toc1457946371"/>
      <w:bookmarkStart w:id="84" w:name="_Toc1620206012"/>
      <w:r>
        <w:rPr>
          <w:rFonts w:hint="eastAsia" w:ascii="黑体" w:hAnsi="黑体" w:eastAsia="黑体"/>
          <w:sz w:val="26"/>
          <w:szCs w:val="26"/>
        </w:rPr>
        <w:t>八、教学进程总体安排</w:t>
      </w:r>
      <w:bookmarkEnd w:id="80"/>
      <w:bookmarkEnd w:id="81"/>
      <w:bookmarkEnd w:id="82"/>
      <w:bookmarkEnd w:id="83"/>
      <w:bookmarkEnd w:id="84"/>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85" w:name="_Toc825424709"/>
      <w:bookmarkStart w:id="86" w:name="_Toc1507177006"/>
      <w:bookmarkStart w:id="87" w:name="_Toc1598305559"/>
      <w:r>
        <w:rPr>
          <w:rFonts w:hint="eastAsia" w:ascii="楷体" w:hAnsi="楷体" w:eastAsia="楷体"/>
          <w:bCs/>
          <w:kern w:val="0"/>
          <w:sz w:val="26"/>
          <w:szCs w:val="26"/>
        </w:rPr>
        <w:t>（一）基本</w:t>
      </w:r>
      <w:r>
        <w:rPr>
          <w:rFonts w:ascii="楷体" w:hAnsi="楷体" w:eastAsia="楷体"/>
          <w:bCs/>
          <w:kern w:val="0"/>
          <w:sz w:val="26"/>
          <w:szCs w:val="26"/>
        </w:rPr>
        <w:t>要求</w:t>
      </w:r>
      <w:bookmarkEnd w:id="85"/>
      <w:bookmarkEnd w:id="86"/>
      <w:bookmarkEnd w:id="87"/>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每学年为52 周，其中教学时间40周</w:t>
      </w:r>
      <w:r>
        <w:rPr>
          <w:rFonts w:hint="eastAsia" w:ascii="仿宋" w:hAnsi="仿宋" w:eastAsia="仿宋"/>
          <w:kern w:val="0"/>
          <w:sz w:val="26"/>
          <w:szCs w:val="26"/>
          <w:lang w:eastAsia="zh-CN"/>
        </w:rPr>
        <w:t>（</w:t>
      </w:r>
      <w:r>
        <w:rPr>
          <w:rFonts w:hint="eastAsia" w:ascii="仿宋" w:hAnsi="仿宋" w:eastAsia="仿宋"/>
          <w:kern w:val="0"/>
          <w:sz w:val="26"/>
          <w:szCs w:val="26"/>
        </w:rPr>
        <w:t>每学期2</w:t>
      </w:r>
      <w:r>
        <w:rPr>
          <w:rFonts w:ascii="仿宋" w:hAnsi="仿宋" w:eastAsia="仿宋"/>
          <w:kern w:val="0"/>
          <w:sz w:val="26"/>
          <w:szCs w:val="26"/>
        </w:rPr>
        <w:t>0</w:t>
      </w:r>
      <w:r>
        <w:rPr>
          <w:rFonts w:hint="eastAsia" w:ascii="仿宋" w:hAnsi="仿宋" w:eastAsia="仿宋"/>
          <w:kern w:val="0"/>
          <w:sz w:val="26"/>
          <w:szCs w:val="26"/>
        </w:rPr>
        <w:t>周，其中教学时间1</w:t>
      </w:r>
      <w:r>
        <w:rPr>
          <w:rFonts w:ascii="仿宋" w:hAnsi="仿宋" w:eastAsia="仿宋"/>
          <w:kern w:val="0"/>
          <w:sz w:val="26"/>
          <w:szCs w:val="26"/>
        </w:rPr>
        <w:t>8</w:t>
      </w:r>
      <w:r>
        <w:rPr>
          <w:rFonts w:hint="eastAsia" w:ascii="仿宋" w:hAnsi="仿宋" w:eastAsia="仿宋"/>
          <w:kern w:val="0"/>
          <w:sz w:val="26"/>
          <w:szCs w:val="26"/>
        </w:rPr>
        <w:t>周、复习考试2周</w:t>
      </w:r>
      <w:r>
        <w:rPr>
          <w:rFonts w:hint="eastAsia" w:ascii="仿宋" w:hAnsi="仿宋" w:eastAsia="仿宋"/>
          <w:kern w:val="0"/>
          <w:sz w:val="26"/>
          <w:szCs w:val="26"/>
          <w:lang w:eastAsia="zh-CN"/>
        </w:rPr>
        <w:t>），</w:t>
      </w:r>
      <w:r>
        <w:rPr>
          <w:rFonts w:hint="eastAsia" w:ascii="仿宋" w:hAnsi="仿宋" w:eastAsia="仿宋"/>
          <w:kern w:val="0"/>
          <w:sz w:val="26"/>
          <w:szCs w:val="26"/>
        </w:rPr>
        <w:t>累计假期12 周。在校时间为2.5年，周学时一般为</w:t>
      </w:r>
      <w:r>
        <w:rPr>
          <w:rFonts w:ascii="仿宋" w:hAnsi="仿宋" w:eastAsia="仿宋"/>
          <w:kern w:val="0"/>
          <w:sz w:val="26"/>
          <w:szCs w:val="26"/>
        </w:rPr>
        <w:t>30</w:t>
      </w:r>
      <w:r>
        <w:rPr>
          <w:rFonts w:hint="eastAsia" w:ascii="仿宋" w:hAnsi="仿宋" w:eastAsia="仿宋"/>
          <w:kern w:val="0"/>
          <w:sz w:val="26"/>
          <w:szCs w:val="26"/>
        </w:rPr>
        <w:t>学时，共</w:t>
      </w:r>
      <w:r>
        <w:rPr>
          <w:rFonts w:ascii="仿宋" w:hAnsi="仿宋" w:eastAsia="仿宋"/>
          <w:kern w:val="0"/>
          <w:sz w:val="26"/>
          <w:szCs w:val="26"/>
        </w:rPr>
        <w:t>2700</w:t>
      </w:r>
      <w:r>
        <w:rPr>
          <w:rFonts w:hint="eastAsia" w:ascii="仿宋" w:hAnsi="仿宋" w:eastAsia="仿宋"/>
          <w:kern w:val="0"/>
          <w:sz w:val="26"/>
          <w:szCs w:val="26"/>
        </w:rPr>
        <w:t>学时；顶岗实习0.5年，按每周30小时</w:t>
      </w:r>
      <w:r>
        <w:rPr>
          <w:rFonts w:hint="eastAsia" w:ascii="仿宋" w:hAnsi="仿宋" w:eastAsia="仿宋"/>
          <w:kern w:val="0"/>
          <w:sz w:val="26"/>
          <w:szCs w:val="26"/>
          <w:lang w:eastAsia="zh-CN"/>
        </w:rPr>
        <w:t>（</w:t>
      </w:r>
      <w:r>
        <w:rPr>
          <w:rFonts w:hint="eastAsia" w:ascii="仿宋" w:hAnsi="仿宋" w:eastAsia="仿宋"/>
          <w:kern w:val="0"/>
          <w:sz w:val="26"/>
          <w:szCs w:val="26"/>
        </w:rPr>
        <w:t>1小时折合1学时</w:t>
      </w:r>
      <w:r>
        <w:rPr>
          <w:rFonts w:hint="eastAsia" w:ascii="仿宋" w:hAnsi="仿宋" w:eastAsia="仿宋"/>
          <w:kern w:val="0"/>
          <w:sz w:val="26"/>
          <w:szCs w:val="26"/>
          <w:lang w:eastAsia="zh-CN"/>
        </w:rPr>
        <w:t>）</w:t>
      </w:r>
      <w:r>
        <w:rPr>
          <w:rFonts w:hint="eastAsia" w:ascii="仿宋" w:hAnsi="仿宋" w:eastAsia="仿宋"/>
          <w:kern w:val="0"/>
          <w:sz w:val="26"/>
          <w:szCs w:val="26"/>
        </w:rPr>
        <w:t>安排，</w:t>
      </w:r>
      <w:bookmarkStart w:id="88" w:name="_Hlk24188696"/>
      <w:r>
        <w:rPr>
          <w:rFonts w:hint="eastAsia" w:ascii="仿宋" w:hAnsi="仿宋" w:eastAsia="仿宋"/>
          <w:kern w:val="0"/>
          <w:sz w:val="26"/>
          <w:szCs w:val="26"/>
        </w:rPr>
        <w:t>共540学时</w:t>
      </w:r>
      <w:bookmarkEnd w:id="88"/>
      <w:r>
        <w:rPr>
          <w:rFonts w:hint="eastAsia" w:ascii="仿宋" w:hAnsi="仿宋" w:eastAsia="仿宋"/>
          <w:kern w:val="0"/>
          <w:sz w:val="26"/>
          <w:szCs w:val="26"/>
        </w:rPr>
        <w:t>；3年总学时数为</w:t>
      </w:r>
      <w:r>
        <w:rPr>
          <w:rFonts w:ascii="仿宋" w:hAnsi="仿宋" w:eastAsia="仿宋"/>
          <w:kern w:val="0"/>
          <w:sz w:val="26"/>
          <w:szCs w:val="26"/>
        </w:rPr>
        <w:t>324</w:t>
      </w:r>
      <w:r>
        <w:rPr>
          <w:rFonts w:hint="eastAsia" w:ascii="仿宋" w:hAnsi="仿宋" w:eastAsia="仿宋"/>
          <w:kern w:val="0"/>
          <w:sz w:val="26"/>
          <w:szCs w:val="26"/>
        </w:rPr>
        <w:t>0。</w:t>
      </w:r>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18学时为1学分，3年制总学分不得少于1</w:t>
      </w:r>
      <w:r>
        <w:rPr>
          <w:rFonts w:ascii="仿宋" w:hAnsi="仿宋" w:eastAsia="仿宋"/>
          <w:kern w:val="0"/>
          <w:sz w:val="26"/>
          <w:szCs w:val="26"/>
        </w:rPr>
        <w:t>80</w:t>
      </w:r>
      <w:r>
        <w:rPr>
          <w:rFonts w:hint="eastAsia" w:ascii="仿宋" w:hAnsi="仿宋" w:eastAsia="仿宋"/>
          <w:kern w:val="0"/>
          <w:sz w:val="26"/>
          <w:szCs w:val="26"/>
        </w:rPr>
        <w:t>；军训、社会实践、入学教育、毕业教育等活动以1周为1学分，共4 分，共1</w:t>
      </w:r>
      <w:r>
        <w:rPr>
          <w:rFonts w:ascii="仿宋" w:hAnsi="仿宋" w:eastAsia="仿宋"/>
          <w:kern w:val="0"/>
          <w:sz w:val="26"/>
          <w:szCs w:val="26"/>
        </w:rPr>
        <w:t>84</w:t>
      </w:r>
      <w:r>
        <w:rPr>
          <w:rFonts w:hint="eastAsia" w:ascii="仿宋" w:hAnsi="仿宋" w:eastAsia="仿宋"/>
          <w:kern w:val="0"/>
          <w:sz w:val="26"/>
          <w:szCs w:val="26"/>
        </w:rPr>
        <w:t>学分。</w:t>
      </w:r>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公共基础课学时1116，约占总学时的</w:t>
      </w:r>
      <w:r>
        <w:rPr>
          <w:rFonts w:ascii="仿宋" w:hAnsi="仿宋" w:eastAsia="仿宋"/>
          <w:kern w:val="0"/>
          <w:sz w:val="26"/>
          <w:szCs w:val="26"/>
        </w:rPr>
        <w:t>3</w:t>
      </w:r>
      <w:r>
        <w:rPr>
          <w:rFonts w:hint="eastAsia" w:ascii="仿宋" w:hAnsi="仿宋" w:eastAsia="仿宋"/>
          <w:kern w:val="0"/>
          <w:sz w:val="26"/>
          <w:szCs w:val="26"/>
        </w:rPr>
        <w:t>4.44</w:t>
      </w:r>
      <w:r>
        <w:rPr>
          <w:rFonts w:ascii="仿宋" w:hAnsi="仿宋" w:eastAsia="仿宋"/>
          <w:kern w:val="0"/>
          <w:sz w:val="26"/>
          <w:szCs w:val="26"/>
        </w:rPr>
        <w:t>%</w:t>
      </w:r>
      <w:r>
        <w:rPr>
          <w:rFonts w:hint="eastAsia" w:ascii="仿宋" w:hAnsi="仿宋" w:eastAsia="仿宋"/>
          <w:kern w:val="0"/>
          <w:sz w:val="26"/>
          <w:szCs w:val="26"/>
        </w:rPr>
        <w:t>。</w:t>
      </w:r>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专业技能课学时共</w:t>
      </w:r>
      <w:r>
        <w:rPr>
          <w:rFonts w:ascii="仿宋" w:hAnsi="仿宋" w:eastAsia="仿宋"/>
          <w:kern w:val="0"/>
          <w:sz w:val="26"/>
          <w:szCs w:val="26"/>
        </w:rPr>
        <w:t>1</w:t>
      </w:r>
      <w:r>
        <w:rPr>
          <w:rFonts w:hint="eastAsia" w:ascii="仿宋" w:hAnsi="仿宋" w:eastAsia="仿宋"/>
          <w:kern w:val="0"/>
          <w:sz w:val="26"/>
          <w:szCs w:val="26"/>
        </w:rPr>
        <w:t>584，约占总学时的48.89</w:t>
      </w:r>
      <w:r>
        <w:rPr>
          <w:rFonts w:ascii="仿宋" w:hAnsi="仿宋" w:eastAsia="仿宋"/>
          <w:kern w:val="0"/>
          <w:sz w:val="26"/>
          <w:szCs w:val="26"/>
        </w:rPr>
        <w:t>%</w:t>
      </w:r>
      <w:r>
        <w:rPr>
          <w:rFonts w:hint="eastAsia" w:ascii="仿宋" w:hAnsi="仿宋" w:eastAsia="仿宋"/>
          <w:kern w:val="0"/>
          <w:sz w:val="26"/>
          <w:szCs w:val="26"/>
        </w:rPr>
        <w:t>，在确保学生实习总量的前提下，可根据实际需要，集中或分阶段安排实习时间，行业企业认知实习应安排在第一学年。</w:t>
      </w:r>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顶岗实习学时共540，约占总学时的1</w:t>
      </w:r>
      <w:r>
        <w:rPr>
          <w:rFonts w:ascii="仿宋" w:hAnsi="仿宋" w:eastAsia="仿宋"/>
          <w:kern w:val="0"/>
          <w:sz w:val="26"/>
          <w:szCs w:val="26"/>
        </w:rPr>
        <w:t>6.67</w:t>
      </w:r>
      <w:r>
        <w:rPr>
          <w:rFonts w:hint="eastAsia" w:ascii="仿宋" w:hAnsi="仿宋" w:eastAsia="仿宋"/>
          <w:kern w:val="0"/>
          <w:sz w:val="26"/>
          <w:szCs w:val="26"/>
        </w:rPr>
        <w:t xml:space="preserve">%。 </w:t>
      </w:r>
    </w:p>
    <w:p>
      <w:pPr>
        <w:pStyle w:val="17"/>
        <w:adjustRightInd w:val="0"/>
        <w:snapToGrid w:val="0"/>
        <w:spacing w:after="0"/>
        <w:ind w:left="0" w:leftChars="0" w:firstLine="520" w:firstLineChars="200"/>
        <w:rPr>
          <w:rFonts w:ascii="仿宋" w:hAnsi="仿宋" w:eastAsia="仿宋"/>
          <w:kern w:val="0"/>
          <w:sz w:val="26"/>
          <w:szCs w:val="26"/>
        </w:rPr>
      </w:pPr>
      <w:r>
        <w:rPr>
          <w:rFonts w:hint="eastAsia" w:ascii="仿宋" w:hAnsi="仿宋" w:eastAsia="仿宋"/>
          <w:kern w:val="0"/>
          <w:sz w:val="26"/>
          <w:szCs w:val="26"/>
        </w:rPr>
        <w:t>选修课学时共324，占总学时的10%</w:t>
      </w:r>
      <w:r>
        <w:rPr>
          <w:rFonts w:ascii="仿宋" w:hAnsi="仿宋" w:eastAsia="仿宋"/>
          <w:kern w:val="0"/>
          <w:sz w:val="26"/>
          <w:szCs w:val="26"/>
        </w:rPr>
        <w:t>。</w:t>
      </w:r>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89" w:name="_Toc378504424"/>
      <w:bookmarkStart w:id="90" w:name="_Toc698517558"/>
      <w:bookmarkStart w:id="91" w:name="_Toc968019016"/>
      <w:r>
        <w:rPr>
          <w:rFonts w:hint="eastAsia" w:ascii="楷体" w:hAnsi="楷体" w:eastAsia="楷体"/>
          <w:bCs/>
          <w:kern w:val="0"/>
          <w:sz w:val="26"/>
          <w:szCs w:val="26"/>
        </w:rPr>
        <w:t>（</w:t>
      </w:r>
      <w:r>
        <w:rPr>
          <w:rFonts w:ascii="楷体" w:hAnsi="楷体" w:eastAsia="楷体"/>
          <w:bCs/>
          <w:kern w:val="0"/>
          <w:sz w:val="26"/>
          <w:szCs w:val="26"/>
        </w:rPr>
        <w:t>二）</w:t>
      </w:r>
      <w:r>
        <w:rPr>
          <w:rFonts w:hint="eastAsia" w:ascii="楷体" w:hAnsi="楷体" w:eastAsia="楷体"/>
          <w:bCs/>
          <w:kern w:val="0"/>
          <w:sz w:val="26"/>
          <w:szCs w:val="26"/>
        </w:rPr>
        <w:t>教学时间安排表</w:t>
      </w:r>
      <w:bookmarkEnd w:id="89"/>
      <w:bookmarkEnd w:id="90"/>
      <w:bookmarkEnd w:id="91"/>
    </w:p>
    <w:tbl>
      <w:tblPr>
        <w:tblStyle w:val="21"/>
        <w:tblW w:w="9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8"/>
        <w:gridCol w:w="782"/>
        <w:gridCol w:w="443"/>
        <w:gridCol w:w="2754"/>
        <w:gridCol w:w="540"/>
        <w:gridCol w:w="623"/>
        <w:gridCol w:w="623"/>
        <w:gridCol w:w="623"/>
        <w:gridCol w:w="623"/>
        <w:gridCol w:w="623"/>
        <w:gridCol w:w="623"/>
        <w:gridCol w:w="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gridSpan w:val="2"/>
            <w:vMerge w:val="restart"/>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课</w:t>
            </w:r>
          </w:p>
          <w:p>
            <w:pPr>
              <w:adjustRightInd w:val="0"/>
              <w:snapToGrid w:val="0"/>
              <w:jc w:val="center"/>
              <w:rPr>
                <w:rFonts w:ascii="楷体" w:hAnsi="楷体" w:eastAsia="楷体" w:cs="楷体"/>
                <w:b/>
                <w:szCs w:val="21"/>
              </w:rPr>
            </w:pPr>
            <w:r>
              <w:rPr>
                <w:rFonts w:hint="eastAsia" w:ascii="楷体" w:hAnsi="楷体" w:eastAsia="楷体" w:cs="楷体"/>
                <w:b/>
                <w:szCs w:val="21"/>
              </w:rPr>
              <w:t>程</w:t>
            </w:r>
          </w:p>
          <w:p>
            <w:pPr>
              <w:adjustRightInd w:val="0"/>
              <w:snapToGrid w:val="0"/>
              <w:jc w:val="center"/>
              <w:rPr>
                <w:rFonts w:ascii="楷体" w:hAnsi="楷体" w:eastAsia="楷体" w:cs="楷体"/>
                <w:b/>
                <w:szCs w:val="21"/>
              </w:rPr>
            </w:pPr>
            <w:r>
              <w:rPr>
                <w:rFonts w:hint="eastAsia" w:ascii="楷体" w:hAnsi="楷体" w:eastAsia="楷体" w:cs="楷体"/>
                <w:b/>
                <w:szCs w:val="21"/>
              </w:rPr>
              <w:t>类</w:t>
            </w:r>
          </w:p>
          <w:p>
            <w:pPr>
              <w:adjustRightInd w:val="0"/>
              <w:snapToGrid w:val="0"/>
              <w:jc w:val="center"/>
              <w:rPr>
                <w:rFonts w:ascii="楷体" w:hAnsi="楷体" w:eastAsia="楷体" w:cs="楷体"/>
                <w:b/>
                <w:szCs w:val="21"/>
              </w:rPr>
            </w:pPr>
            <w:r>
              <w:rPr>
                <w:rFonts w:hint="eastAsia" w:ascii="楷体" w:hAnsi="楷体" w:eastAsia="楷体" w:cs="楷体"/>
                <w:b/>
                <w:szCs w:val="21"/>
              </w:rPr>
              <w:t>别</w:t>
            </w:r>
          </w:p>
        </w:tc>
        <w:tc>
          <w:tcPr>
            <w:tcW w:w="443" w:type="dxa"/>
            <w:vMerge w:val="restart"/>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序号</w:t>
            </w:r>
          </w:p>
        </w:tc>
        <w:tc>
          <w:tcPr>
            <w:tcW w:w="2754" w:type="dxa"/>
            <w:vMerge w:val="restart"/>
            <w:vAlign w:val="center"/>
          </w:tcPr>
          <w:p>
            <w:pPr>
              <w:pStyle w:val="51"/>
              <w:adjustRightInd w:val="0"/>
              <w:snapToGrid w:val="0"/>
              <w:rPr>
                <w:rFonts w:ascii="楷体" w:hAnsi="楷体" w:eastAsia="楷体" w:cs="楷体"/>
                <w:b/>
                <w:sz w:val="21"/>
                <w:szCs w:val="21"/>
              </w:rPr>
            </w:pPr>
            <w:r>
              <w:rPr>
                <w:rFonts w:hint="eastAsia" w:ascii="楷体" w:hAnsi="楷体" w:eastAsia="楷体" w:cs="楷体"/>
                <w:b/>
                <w:sz w:val="21"/>
                <w:szCs w:val="21"/>
              </w:rPr>
              <w:t>课程名称</w:t>
            </w:r>
          </w:p>
        </w:tc>
        <w:tc>
          <w:tcPr>
            <w:tcW w:w="540" w:type="dxa"/>
            <w:vMerge w:val="restart"/>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总学时</w:t>
            </w:r>
          </w:p>
        </w:tc>
        <w:tc>
          <w:tcPr>
            <w:tcW w:w="623" w:type="dxa"/>
            <w:vMerge w:val="restart"/>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学  分</w:t>
            </w:r>
          </w:p>
        </w:tc>
        <w:tc>
          <w:tcPr>
            <w:tcW w:w="3738" w:type="dxa"/>
            <w:gridSpan w:val="6"/>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按学年、学期教学进程安排</w:t>
            </w:r>
          </w:p>
          <w:p>
            <w:pPr>
              <w:adjustRightInd w:val="0"/>
              <w:snapToGrid w:val="0"/>
              <w:jc w:val="center"/>
              <w:rPr>
                <w:rFonts w:ascii="楷体" w:hAnsi="楷体" w:eastAsia="楷体" w:cs="楷体"/>
                <w:b/>
                <w:szCs w:val="21"/>
              </w:rPr>
            </w:pPr>
            <w:r>
              <w:rPr>
                <w:rFonts w:hint="eastAsia" w:ascii="楷体" w:hAnsi="楷体" w:eastAsia="楷体" w:cs="楷体"/>
                <w:b/>
                <w:szCs w:val="21"/>
              </w:rPr>
              <w:t>（周学时/教学周数）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gridSpan w:val="2"/>
            <w:vMerge w:val="continue"/>
            <w:vAlign w:val="center"/>
          </w:tcPr>
          <w:p>
            <w:pPr>
              <w:adjustRightInd w:val="0"/>
              <w:snapToGrid w:val="0"/>
              <w:jc w:val="center"/>
              <w:rPr>
                <w:rFonts w:ascii="楷体" w:hAnsi="楷体" w:eastAsia="楷体" w:cs="楷体"/>
                <w:b/>
                <w:szCs w:val="21"/>
              </w:rPr>
            </w:pPr>
          </w:p>
        </w:tc>
        <w:tc>
          <w:tcPr>
            <w:tcW w:w="443" w:type="dxa"/>
            <w:vMerge w:val="continue"/>
            <w:vAlign w:val="center"/>
          </w:tcPr>
          <w:p>
            <w:pPr>
              <w:adjustRightInd w:val="0"/>
              <w:snapToGrid w:val="0"/>
              <w:jc w:val="center"/>
              <w:rPr>
                <w:rFonts w:ascii="楷体" w:hAnsi="楷体" w:eastAsia="楷体" w:cs="楷体"/>
                <w:b/>
                <w:szCs w:val="21"/>
              </w:rPr>
            </w:pPr>
          </w:p>
        </w:tc>
        <w:tc>
          <w:tcPr>
            <w:tcW w:w="2754" w:type="dxa"/>
            <w:vMerge w:val="continue"/>
            <w:vAlign w:val="center"/>
          </w:tcPr>
          <w:p>
            <w:pPr>
              <w:adjustRightInd w:val="0"/>
              <w:snapToGrid w:val="0"/>
              <w:jc w:val="center"/>
              <w:rPr>
                <w:rFonts w:ascii="楷体" w:hAnsi="楷体" w:eastAsia="楷体" w:cs="楷体"/>
                <w:b/>
                <w:szCs w:val="21"/>
              </w:rPr>
            </w:pPr>
          </w:p>
        </w:tc>
        <w:tc>
          <w:tcPr>
            <w:tcW w:w="540" w:type="dxa"/>
            <w:vMerge w:val="continue"/>
            <w:vAlign w:val="center"/>
          </w:tcPr>
          <w:p>
            <w:pPr>
              <w:adjustRightInd w:val="0"/>
              <w:snapToGrid w:val="0"/>
              <w:jc w:val="center"/>
              <w:rPr>
                <w:rFonts w:ascii="楷体" w:hAnsi="楷体" w:eastAsia="楷体" w:cs="楷体"/>
                <w:b/>
                <w:szCs w:val="21"/>
              </w:rPr>
            </w:pPr>
          </w:p>
        </w:tc>
        <w:tc>
          <w:tcPr>
            <w:tcW w:w="623" w:type="dxa"/>
            <w:vMerge w:val="continue"/>
            <w:vAlign w:val="center"/>
          </w:tcPr>
          <w:p>
            <w:pPr>
              <w:adjustRightInd w:val="0"/>
              <w:snapToGrid w:val="0"/>
              <w:jc w:val="center"/>
              <w:rPr>
                <w:rFonts w:ascii="楷体" w:hAnsi="楷体" w:eastAsia="楷体" w:cs="楷体"/>
                <w:b/>
                <w:szCs w:val="21"/>
              </w:rPr>
            </w:pPr>
          </w:p>
        </w:tc>
        <w:tc>
          <w:tcPr>
            <w:tcW w:w="1246" w:type="dxa"/>
            <w:gridSpan w:val="2"/>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第一学年</w:t>
            </w:r>
          </w:p>
        </w:tc>
        <w:tc>
          <w:tcPr>
            <w:tcW w:w="1246" w:type="dxa"/>
            <w:gridSpan w:val="2"/>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第二学年</w:t>
            </w:r>
          </w:p>
        </w:tc>
        <w:tc>
          <w:tcPr>
            <w:tcW w:w="1246" w:type="dxa"/>
            <w:gridSpan w:val="2"/>
            <w:vAlign w:val="center"/>
          </w:tcPr>
          <w:p>
            <w:pPr>
              <w:adjustRightInd w:val="0"/>
              <w:snapToGrid w:val="0"/>
              <w:jc w:val="center"/>
              <w:rPr>
                <w:rFonts w:ascii="楷体" w:hAnsi="楷体" w:eastAsia="楷体" w:cs="楷体"/>
                <w:b/>
                <w:szCs w:val="21"/>
              </w:rPr>
            </w:pPr>
            <w:r>
              <w:rPr>
                <w:rFonts w:hint="eastAsia" w:ascii="楷体" w:hAnsi="楷体" w:eastAsia="楷体" w:cs="楷体"/>
                <w:b/>
                <w:szCs w:val="21"/>
              </w:rPr>
              <w:t>第三学年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gridSpan w:val="2"/>
            <w:vMerge w:val="continue"/>
            <w:vAlign w:val="center"/>
          </w:tcPr>
          <w:p>
            <w:pPr>
              <w:adjustRightInd w:val="0"/>
              <w:snapToGrid w:val="0"/>
              <w:jc w:val="center"/>
              <w:rPr>
                <w:rFonts w:ascii="楷体" w:hAnsi="楷体" w:eastAsia="楷体" w:cs="楷体"/>
                <w:sz w:val="24"/>
              </w:rPr>
            </w:pPr>
          </w:p>
        </w:tc>
        <w:tc>
          <w:tcPr>
            <w:tcW w:w="443" w:type="dxa"/>
            <w:vMerge w:val="continue"/>
            <w:vAlign w:val="center"/>
          </w:tcPr>
          <w:p>
            <w:pPr>
              <w:adjustRightInd w:val="0"/>
              <w:snapToGrid w:val="0"/>
              <w:jc w:val="center"/>
              <w:rPr>
                <w:rFonts w:ascii="楷体" w:hAnsi="楷体" w:eastAsia="楷体" w:cs="楷体"/>
                <w:sz w:val="24"/>
              </w:rPr>
            </w:pPr>
          </w:p>
        </w:tc>
        <w:tc>
          <w:tcPr>
            <w:tcW w:w="2754" w:type="dxa"/>
            <w:vMerge w:val="continue"/>
            <w:vAlign w:val="center"/>
          </w:tcPr>
          <w:p>
            <w:pPr>
              <w:adjustRightInd w:val="0"/>
              <w:snapToGrid w:val="0"/>
              <w:jc w:val="center"/>
              <w:rPr>
                <w:rFonts w:ascii="楷体" w:hAnsi="楷体" w:eastAsia="楷体" w:cs="楷体"/>
                <w:sz w:val="24"/>
              </w:rPr>
            </w:pPr>
          </w:p>
        </w:tc>
        <w:tc>
          <w:tcPr>
            <w:tcW w:w="540" w:type="dxa"/>
            <w:vMerge w:val="continue"/>
            <w:vAlign w:val="center"/>
          </w:tcPr>
          <w:p>
            <w:pPr>
              <w:adjustRightInd w:val="0"/>
              <w:snapToGrid w:val="0"/>
              <w:jc w:val="center"/>
              <w:rPr>
                <w:rFonts w:ascii="楷体" w:hAnsi="楷体" w:eastAsia="楷体" w:cs="楷体"/>
                <w:sz w:val="24"/>
              </w:rPr>
            </w:pPr>
          </w:p>
        </w:tc>
        <w:tc>
          <w:tcPr>
            <w:tcW w:w="623" w:type="dxa"/>
            <w:vMerge w:val="continue"/>
            <w:vAlign w:val="center"/>
          </w:tcPr>
          <w:p>
            <w:pPr>
              <w:adjustRightInd w:val="0"/>
              <w:snapToGrid w:val="0"/>
              <w:jc w:val="center"/>
              <w:rPr>
                <w:rFonts w:ascii="楷体" w:hAnsi="楷体" w:eastAsia="楷体" w:cs="楷体"/>
                <w:sz w:val="24"/>
              </w:rPr>
            </w:pP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2</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3</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4</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5</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gridSpan w:val="2"/>
            <w:vMerge w:val="continue"/>
            <w:vAlign w:val="center"/>
          </w:tcPr>
          <w:p>
            <w:pPr>
              <w:adjustRightInd w:val="0"/>
              <w:snapToGrid w:val="0"/>
              <w:jc w:val="center"/>
              <w:rPr>
                <w:rFonts w:ascii="楷体" w:hAnsi="楷体" w:eastAsia="楷体" w:cs="楷体"/>
                <w:sz w:val="24"/>
              </w:rPr>
            </w:pPr>
          </w:p>
        </w:tc>
        <w:tc>
          <w:tcPr>
            <w:tcW w:w="443" w:type="dxa"/>
            <w:vMerge w:val="continue"/>
            <w:vAlign w:val="center"/>
          </w:tcPr>
          <w:p>
            <w:pPr>
              <w:adjustRightInd w:val="0"/>
              <w:snapToGrid w:val="0"/>
              <w:jc w:val="center"/>
              <w:rPr>
                <w:rFonts w:ascii="楷体" w:hAnsi="楷体" w:eastAsia="楷体" w:cs="楷体"/>
                <w:sz w:val="24"/>
              </w:rPr>
            </w:pPr>
          </w:p>
        </w:tc>
        <w:tc>
          <w:tcPr>
            <w:tcW w:w="2754" w:type="dxa"/>
            <w:vMerge w:val="continue"/>
            <w:vAlign w:val="center"/>
          </w:tcPr>
          <w:p>
            <w:pPr>
              <w:adjustRightInd w:val="0"/>
              <w:snapToGrid w:val="0"/>
              <w:jc w:val="center"/>
              <w:rPr>
                <w:rFonts w:ascii="楷体" w:hAnsi="楷体" w:eastAsia="楷体" w:cs="楷体"/>
                <w:sz w:val="24"/>
              </w:rPr>
            </w:pPr>
          </w:p>
        </w:tc>
        <w:tc>
          <w:tcPr>
            <w:tcW w:w="540" w:type="dxa"/>
            <w:vMerge w:val="continue"/>
            <w:vAlign w:val="center"/>
          </w:tcPr>
          <w:p>
            <w:pPr>
              <w:adjustRightInd w:val="0"/>
              <w:snapToGrid w:val="0"/>
              <w:jc w:val="center"/>
              <w:rPr>
                <w:rFonts w:ascii="楷体" w:hAnsi="楷体" w:eastAsia="楷体" w:cs="楷体"/>
                <w:sz w:val="24"/>
              </w:rPr>
            </w:pPr>
          </w:p>
        </w:tc>
        <w:tc>
          <w:tcPr>
            <w:tcW w:w="623" w:type="dxa"/>
            <w:vMerge w:val="continue"/>
            <w:vAlign w:val="center"/>
          </w:tcPr>
          <w:p>
            <w:pPr>
              <w:adjustRightInd w:val="0"/>
              <w:snapToGrid w:val="0"/>
              <w:jc w:val="center"/>
              <w:rPr>
                <w:rFonts w:ascii="楷体" w:hAnsi="楷体" w:eastAsia="楷体" w:cs="楷体"/>
                <w:sz w:val="24"/>
              </w:rPr>
            </w:pP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c>
          <w:tcPr>
            <w:tcW w:w="623" w:type="dxa"/>
            <w:vAlign w:val="center"/>
          </w:tcPr>
          <w:p>
            <w:pPr>
              <w:adjustRightInd w:val="0"/>
              <w:snapToGrid w:val="0"/>
              <w:jc w:val="center"/>
              <w:rPr>
                <w:rFonts w:ascii="楷体" w:hAnsi="楷体" w:eastAsia="楷体" w:cs="楷体"/>
                <w:b/>
                <w:sz w:val="24"/>
              </w:rPr>
            </w:pPr>
            <w:r>
              <w:rPr>
                <w:rFonts w:hint="eastAsia" w:ascii="楷体" w:hAnsi="楷体" w:eastAsia="楷体" w:cs="楷体"/>
                <w:b/>
                <w:sz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公共基础课程</w:t>
            </w: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必修</w:t>
            </w: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思想政治</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144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语文</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144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数学</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44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4</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英语</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44</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5</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信息技术</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108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3</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3</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6</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体育与健康</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180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10</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7</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公共艺术</w:t>
            </w:r>
          </w:p>
        </w:tc>
        <w:tc>
          <w:tcPr>
            <w:tcW w:w="540"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72</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4</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8</w:t>
            </w:r>
          </w:p>
        </w:tc>
        <w:tc>
          <w:tcPr>
            <w:tcW w:w="2754" w:type="dxa"/>
            <w:vAlign w:val="center"/>
          </w:tcPr>
          <w:p>
            <w:pPr>
              <w:widowControl/>
              <w:jc w:val="left"/>
              <w:rPr>
                <w:rFonts w:ascii="楷体" w:hAnsi="楷体" w:eastAsia="楷体" w:cs="宋体"/>
                <w:kern w:val="0"/>
                <w:szCs w:val="21"/>
              </w:rPr>
            </w:pPr>
            <w:r>
              <w:rPr>
                <w:rFonts w:hint="eastAsia" w:ascii="楷体" w:hAnsi="楷体" w:eastAsia="楷体" w:cs="宋体"/>
                <w:kern w:val="0"/>
                <w:szCs w:val="21"/>
              </w:rPr>
              <w:t>历史</w:t>
            </w:r>
          </w:p>
        </w:tc>
        <w:tc>
          <w:tcPr>
            <w:tcW w:w="540"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72</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4</w:t>
            </w: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tcBorders>
              <w:right w:val="single" w:color="auto" w:sz="4" w:space="0"/>
            </w:tcBorders>
            <w:vAlign w:val="center"/>
          </w:tcPr>
          <w:p>
            <w:pPr>
              <w:adjustRightInd w:val="0"/>
              <w:snapToGrid w:val="0"/>
              <w:jc w:val="center"/>
              <w:rPr>
                <w:rFonts w:ascii="楷体" w:hAnsi="楷体" w:eastAsia="楷体" w:cs="楷体"/>
                <w:szCs w:val="21"/>
              </w:rPr>
            </w:pPr>
            <w:r>
              <w:rPr>
                <w:rFonts w:ascii="楷体" w:hAnsi="楷体" w:eastAsia="楷体" w:cs="楷体"/>
                <w:szCs w:val="21"/>
              </w:rPr>
              <w:t>9</w:t>
            </w:r>
          </w:p>
        </w:tc>
        <w:tc>
          <w:tcPr>
            <w:tcW w:w="2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Cs w:val="21"/>
              </w:rPr>
            </w:pPr>
            <w:r>
              <w:rPr>
                <w:rFonts w:hint="eastAsia" w:ascii="楷体" w:hAnsi="楷体" w:eastAsia="楷体" w:cs="宋体"/>
                <w:kern w:val="0"/>
                <w:szCs w:val="21"/>
              </w:rPr>
              <w:t>物理</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r>
              <w:rPr>
                <w:rFonts w:ascii="楷体" w:hAnsi="楷体" w:eastAsia="楷体" w:cs="宋体"/>
                <w:kern w:val="0"/>
                <w:szCs w:val="21"/>
              </w:rPr>
              <w:t>36</w:t>
            </w:r>
          </w:p>
        </w:tc>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kern w:val="0"/>
                <w:szCs w:val="21"/>
              </w:rPr>
            </w:pPr>
            <w:r>
              <w:rPr>
                <w:rFonts w:ascii="楷体" w:hAnsi="楷体" w:eastAsia="楷体" w:cs="宋体"/>
                <w:kern w:val="0"/>
                <w:szCs w:val="21"/>
              </w:rPr>
              <w:t>2</w:t>
            </w:r>
          </w:p>
        </w:tc>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kern w:val="0"/>
                <w:szCs w:val="21"/>
              </w:rPr>
            </w:pPr>
            <w:r>
              <w:rPr>
                <w:rFonts w:hint="eastAsia" w:ascii="楷体" w:hAnsi="楷体" w:eastAsia="楷体" w:cs="宋体"/>
                <w:kern w:val="0"/>
                <w:szCs w:val="21"/>
              </w:rPr>
              <w:t>2</w:t>
            </w:r>
          </w:p>
        </w:tc>
        <w:tc>
          <w:tcPr>
            <w:tcW w:w="62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tcBorders>
              <w:right w:val="single" w:color="auto" w:sz="4" w:space="0"/>
            </w:tcBorders>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r>
              <w:rPr>
                <w:rFonts w:ascii="楷体" w:hAnsi="楷体" w:eastAsia="楷体" w:cs="楷体"/>
                <w:szCs w:val="21"/>
              </w:rPr>
              <w:t>0</w:t>
            </w:r>
          </w:p>
        </w:tc>
        <w:tc>
          <w:tcPr>
            <w:tcW w:w="2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Cs w:val="21"/>
              </w:rPr>
            </w:pPr>
            <w:r>
              <w:rPr>
                <w:rFonts w:hint="eastAsia" w:ascii="楷体" w:hAnsi="楷体" w:eastAsia="楷体" w:cs="宋体"/>
                <w:kern w:val="0"/>
                <w:szCs w:val="21"/>
              </w:rPr>
              <w:t>化学</w:t>
            </w:r>
          </w:p>
        </w:tc>
        <w:tc>
          <w:tcPr>
            <w:tcW w:w="540"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36</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2</w:t>
            </w: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r>
              <w:rPr>
                <w:rFonts w:ascii="楷体" w:hAnsi="楷体" w:eastAsia="楷体" w:cs="宋体"/>
                <w:kern w:val="0"/>
                <w:szCs w:val="21"/>
              </w:rPr>
              <w:t>2</w:t>
            </w: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bookmarkStart w:id="92" w:name="_Hlk24471369"/>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选修</w:t>
            </w:r>
          </w:p>
        </w:tc>
        <w:tc>
          <w:tcPr>
            <w:tcW w:w="443" w:type="dxa"/>
            <w:vAlign w:val="center"/>
          </w:tcPr>
          <w:p>
            <w:pPr>
              <w:adjustRightInd w:val="0"/>
              <w:snapToGrid w:val="0"/>
              <w:jc w:val="center"/>
              <w:rPr>
                <w:rFonts w:ascii="楷体" w:hAnsi="楷体" w:eastAsia="楷体" w:cs="楷体"/>
                <w:szCs w:val="21"/>
              </w:rPr>
            </w:pPr>
            <w:r>
              <w:rPr>
                <w:rFonts w:ascii="楷体" w:hAnsi="楷体" w:eastAsia="楷体" w:cs="楷体"/>
                <w:szCs w:val="21"/>
              </w:rPr>
              <w:t>11</w:t>
            </w:r>
          </w:p>
        </w:tc>
        <w:tc>
          <w:tcPr>
            <w:tcW w:w="2754" w:type="dxa"/>
            <w:tcBorders>
              <w:bottom w:val="single" w:color="auto" w:sz="4" w:space="0"/>
            </w:tcBorders>
            <w:vAlign w:val="center"/>
          </w:tcPr>
          <w:p>
            <w:pPr>
              <w:widowControl/>
              <w:jc w:val="left"/>
              <w:rPr>
                <w:rFonts w:ascii="楷体" w:hAnsi="楷体" w:eastAsia="楷体" w:cs="宋体"/>
                <w:kern w:val="0"/>
                <w:szCs w:val="21"/>
              </w:rPr>
            </w:pPr>
            <w:r>
              <w:rPr>
                <w:rFonts w:hint="eastAsia" w:ascii="楷体" w:hAnsi="楷体" w:eastAsia="楷体" w:cs="宋体"/>
                <w:kern w:val="0"/>
                <w:szCs w:val="21"/>
              </w:rPr>
              <w:t>职业素养</w:t>
            </w:r>
          </w:p>
        </w:tc>
        <w:tc>
          <w:tcPr>
            <w:tcW w:w="4901" w:type="dxa"/>
            <w:gridSpan w:val="8"/>
            <w:tcBorders>
              <w:bottom w:val="single" w:color="auto" w:sz="4" w:space="0"/>
            </w:tcBorders>
            <w:vAlign w:val="center"/>
          </w:tcPr>
          <w:p>
            <w:pPr>
              <w:widowControl/>
              <w:jc w:val="center"/>
              <w:rPr>
                <w:rFonts w:ascii="楷体" w:hAnsi="楷体" w:eastAsia="楷体" w:cs="宋体"/>
                <w:kern w:val="0"/>
                <w:szCs w:val="21"/>
              </w:rPr>
            </w:pPr>
            <w:r>
              <w:rPr>
                <w:rFonts w:hint="eastAsia" w:ascii="楷体" w:hAnsi="楷体" w:eastAsia="楷体" w:cs="宋体"/>
                <w:kern w:val="0"/>
                <w:szCs w:val="21"/>
              </w:rPr>
              <w:t>讲座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tcBorders>
              <w:right w:val="single" w:color="auto" w:sz="4" w:space="0"/>
            </w:tcBorders>
            <w:vAlign w:val="center"/>
          </w:tcPr>
          <w:p>
            <w:pPr>
              <w:adjustRightInd w:val="0"/>
              <w:snapToGrid w:val="0"/>
              <w:jc w:val="center"/>
              <w:rPr>
                <w:rFonts w:ascii="楷体" w:hAnsi="楷体" w:eastAsia="楷体" w:cs="楷体"/>
                <w:szCs w:val="21"/>
              </w:rPr>
            </w:pPr>
            <w:r>
              <w:rPr>
                <w:rFonts w:ascii="楷体" w:hAnsi="楷体" w:eastAsia="楷体" w:cs="楷体"/>
                <w:szCs w:val="21"/>
              </w:rPr>
              <w:t>12</w:t>
            </w:r>
          </w:p>
        </w:tc>
        <w:tc>
          <w:tcPr>
            <w:tcW w:w="2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Cs w:val="21"/>
              </w:rPr>
            </w:pPr>
            <w:r>
              <w:rPr>
                <w:rFonts w:hint="eastAsia" w:ascii="楷体" w:hAnsi="楷体" w:eastAsia="楷体" w:cs="宋体"/>
                <w:kern w:val="0"/>
                <w:szCs w:val="21"/>
              </w:rPr>
              <w:t>中华优秀传统文化</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r>
              <w:rPr>
                <w:rFonts w:ascii="楷体" w:hAnsi="楷体" w:eastAsia="楷体" w:cs="宋体"/>
                <w:kern w:val="0"/>
                <w:szCs w:val="21"/>
              </w:rPr>
              <w:t>18</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r>
              <w:rPr>
                <w:rFonts w:ascii="楷体" w:hAnsi="楷体" w:eastAsia="楷体" w:cs="宋体"/>
                <w:kern w:val="0"/>
                <w:szCs w:val="21"/>
              </w:rPr>
              <w:t>1</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p>
        </w:tc>
        <w:tc>
          <w:tcPr>
            <w:tcW w:w="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r>
              <w:rPr>
                <w:rFonts w:ascii="楷体" w:hAnsi="楷体" w:eastAsia="楷体" w:cs="楷体"/>
                <w:szCs w:val="21"/>
              </w:rPr>
              <w:t>3</w:t>
            </w:r>
          </w:p>
        </w:tc>
        <w:tc>
          <w:tcPr>
            <w:tcW w:w="2754" w:type="dxa"/>
            <w:tcBorders>
              <w:top w:val="single" w:color="auto" w:sz="4" w:space="0"/>
              <w:bottom w:val="single" w:color="auto" w:sz="4" w:space="0"/>
            </w:tcBorders>
            <w:vAlign w:val="center"/>
          </w:tcPr>
          <w:p>
            <w:pPr>
              <w:jc w:val="left"/>
              <w:rPr>
                <w:rFonts w:ascii="楷体" w:hAnsi="楷体" w:eastAsia="楷体" w:cs="宋体"/>
                <w:kern w:val="0"/>
                <w:szCs w:val="21"/>
              </w:rPr>
            </w:pPr>
            <w:r>
              <w:rPr>
                <w:rFonts w:hint="eastAsia" w:ascii="楷体" w:hAnsi="楷体" w:eastAsia="楷体" w:cs="宋体"/>
                <w:kern w:val="0"/>
                <w:szCs w:val="21"/>
              </w:rPr>
              <w:t>劳动教育</w:t>
            </w:r>
          </w:p>
        </w:tc>
        <w:tc>
          <w:tcPr>
            <w:tcW w:w="4901" w:type="dxa"/>
            <w:gridSpan w:val="8"/>
            <w:tcBorders>
              <w:top w:val="single" w:color="auto" w:sz="4" w:space="0"/>
              <w:bottom w:val="single" w:color="auto" w:sz="4" w:space="0"/>
              <w:right w:val="single" w:color="auto" w:sz="4" w:space="0"/>
            </w:tcBorders>
            <w:vAlign w:val="center"/>
          </w:tcPr>
          <w:p>
            <w:pPr>
              <w:widowControl/>
              <w:jc w:val="center"/>
              <w:rPr>
                <w:rFonts w:ascii="楷体" w:hAnsi="楷体" w:eastAsia="楷体" w:cs="宋体"/>
                <w:kern w:val="0"/>
                <w:szCs w:val="21"/>
              </w:rPr>
            </w:pPr>
            <w:r>
              <w:rPr>
                <w:rFonts w:hint="eastAsia" w:ascii="楷体" w:hAnsi="楷体" w:eastAsia="楷体" w:cs="宋体"/>
                <w:kern w:val="0"/>
                <w:szCs w:val="21"/>
              </w:rPr>
              <w:t>讲座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r>
              <w:rPr>
                <w:rFonts w:ascii="楷体" w:hAnsi="楷体" w:eastAsia="楷体" w:cs="楷体"/>
                <w:szCs w:val="21"/>
              </w:rPr>
              <w:t>4</w:t>
            </w:r>
          </w:p>
        </w:tc>
        <w:tc>
          <w:tcPr>
            <w:tcW w:w="2754" w:type="dxa"/>
            <w:tcBorders>
              <w:top w:val="single" w:color="auto" w:sz="4" w:space="0"/>
            </w:tcBorders>
            <w:vAlign w:val="center"/>
          </w:tcPr>
          <w:p>
            <w:pPr>
              <w:jc w:val="left"/>
              <w:rPr>
                <w:rFonts w:ascii="楷体" w:hAnsi="楷体" w:eastAsia="楷体" w:cs="宋体"/>
                <w:kern w:val="0"/>
                <w:szCs w:val="21"/>
              </w:rPr>
            </w:pPr>
            <w:r>
              <w:rPr>
                <w:rFonts w:hint="eastAsia" w:ascii="楷体" w:hAnsi="楷体" w:eastAsia="楷体" w:cs="宋体"/>
                <w:kern w:val="0"/>
                <w:szCs w:val="21"/>
              </w:rPr>
              <w:t>心理健康教育</w:t>
            </w:r>
          </w:p>
        </w:tc>
        <w:tc>
          <w:tcPr>
            <w:tcW w:w="540" w:type="dxa"/>
            <w:vMerge w:val="restart"/>
            <w:tcBorders>
              <w:top w:val="single" w:color="auto" w:sz="4" w:space="0"/>
            </w:tcBorders>
            <w:vAlign w:val="center"/>
          </w:tcPr>
          <w:p>
            <w:pPr>
              <w:jc w:val="center"/>
              <w:rPr>
                <w:rFonts w:ascii="楷体" w:hAnsi="楷体" w:eastAsia="楷体" w:cs="宋体"/>
                <w:kern w:val="0"/>
                <w:szCs w:val="21"/>
              </w:rPr>
            </w:pPr>
            <w:r>
              <w:rPr>
                <w:rFonts w:ascii="楷体" w:hAnsi="楷体" w:eastAsia="楷体" w:cs="宋体"/>
                <w:kern w:val="0"/>
                <w:szCs w:val="21"/>
              </w:rPr>
              <w:t>18</w:t>
            </w:r>
          </w:p>
        </w:tc>
        <w:tc>
          <w:tcPr>
            <w:tcW w:w="623" w:type="dxa"/>
            <w:vMerge w:val="restart"/>
            <w:tcBorders>
              <w:top w:val="single" w:color="auto" w:sz="4" w:space="0"/>
            </w:tcBorders>
            <w:vAlign w:val="center"/>
          </w:tcPr>
          <w:p>
            <w:pPr>
              <w:jc w:val="center"/>
              <w:rPr>
                <w:rFonts w:ascii="楷体" w:hAnsi="楷体" w:eastAsia="楷体" w:cs="宋体"/>
                <w:kern w:val="0"/>
                <w:szCs w:val="21"/>
              </w:rPr>
            </w:pPr>
            <w:r>
              <w:rPr>
                <w:rFonts w:ascii="楷体" w:hAnsi="楷体" w:eastAsia="楷体" w:cs="宋体"/>
                <w:kern w:val="0"/>
                <w:szCs w:val="21"/>
              </w:rPr>
              <w:t>1</w:t>
            </w: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p>
        </w:tc>
        <w:tc>
          <w:tcPr>
            <w:tcW w:w="623" w:type="dxa"/>
            <w:vMerge w:val="restart"/>
            <w:tcBorders>
              <w:top w:val="single" w:color="auto" w:sz="4" w:space="0"/>
            </w:tcBorders>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r>
              <w:rPr>
                <w:rFonts w:ascii="楷体" w:hAnsi="楷体" w:eastAsia="楷体" w:cs="楷体"/>
                <w:szCs w:val="21"/>
              </w:rPr>
              <w:t>5</w:t>
            </w:r>
          </w:p>
        </w:tc>
        <w:tc>
          <w:tcPr>
            <w:tcW w:w="2754" w:type="dxa"/>
            <w:vAlign w:val="center"/>
          </w:tcPr>
          <w:p>
            <w:pPr>
              <w:jc w:val="left"/>
              <w:rPr>
                <w:rFonts w:ascii="楷体" w:hAnsi="楷体" w:eastAsia="楷体" w:cs="宋体"/>
                <w:kern w:val="0"/>
                <w:szCs w:val="21"/>
              </w:rPr>
            </w:pPr>
            <w:r>
              <w:rPr>
                <w:rFonts w:hint="eastAsia" w:ascii="楷体" w:hAnsi="楷体" w:eastAsia="楷体" w:cs="宋体"/>
                <w:kern w:val="0"/>
                <w:szCs w:val="21"/>
              </w:rPr>
              <w:t>礼仪</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3197"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楷体" w:hAnsi="楷体" w:eastAsia="楷体" w:cs="宋体"/>
                <w:kern w:val="0"/>
                <w:szCs w:val="21"/>
              </w:rPr>
            </w:pPr>
            <w:r>
              <w:rPr>
                <w:rFonts w:hint="eastAsia" w:ascii="楷体" w:hAnsi="楷体" w:eastAsia="楷体" w:cs="宋体"/>
                <w:kern w:val="0"/>
                <w:szCs w:val="21"/>
              </w:rPr>
              <w:t>小计（占总学时的</w:t>
            </w:r>
            <w:r>
              <w:rPr>
                <w:rFonts w:ascii="楷体" w:hAnsi="楷体" w:eastAsia="楷体" w:cs="宋体"/>
                <w:kern w:val="0"/>
                <w:szCs w:val="21"/>
              </w:rPr>
              <w:t>3</w:t>
            </w:r>
            <w:r>
              <w:rPr>
                <w:rFonts w:hint="eastAsia" w:ascii="楷体" w:hAnsi="楷体" w:eastAsia="楷体" w:cs="宋体"/>
                <w:kern w:val="0"/>
                <w:szCs w:val="21"/>
              </w:rPr>
              <w:t>4.44%）</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w:t>
            </w:r>
            <w:r>
              <w:rPr>
                <w:rFonts w:hint="eastAsia" w:ascii="楷体" w:hAnsi="楷体" w:eastAsia="楷体" w:cs="宋体"/>
                <w:kern w:val="0"/>
                <w:szCs w:val="21"/>
              </w:rPr>
              <w:t>116</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6</w:t>
            </w:r>
            <w:r>
              <w:rPr>
                <w:rFonts w:hint="eastAsia" w:ascii="楷体" w:hAnsi="楷体" w:eastAsia="楷体" w:cs="宋体"/>
                <w:kern w:val="0"/>
                <w:szCs w:val="21"/>
              </w:rPr>
              <w:t>2</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w:t>
            </w:r>
            <w:r>
              <w:rPr>
                <w:rFonts w:hint="eastAsia" w:ascii="楷体" w:hAnsi="楷体" w:eastAsia="楷体" w:cs="宋体"/>
                <w:kern w:val="0"/>
                <w:szCs w:val="21"/>
              </w:rPr>
              <w:t>6</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16</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13</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4</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Cs w:val="21"/>
              </w:rPr>
            </w:pPr>
            <w:r>
              <w:rPr>
                <w:rFonts w:ascii="楷体" w:hAnsi="楷体" w:eastAsia="楷体" w:cs="宋体"/>
                <w:kern w:val="0"/>
                <w:szCs w:val="21"/>
              </w:rPr>
              <w:t>3</w:t>
            </w:r>
          </w:p>
        </w:tc>
        <w:tc>
          <w:tcPr>
            <w:tcW w:w="623" w:type="dxa"/>
            <w:tcBorders>
              <w:top w:val="single" w:color="auto" w:sz="4" w:space="0"/>
              <w:left w:val="nil"/>
              <w:bottom w:val="single" w:color="auto" w:sz="4" w:space="0"/>
              <w:right w:val="single" w:color="auto" w:sz="4" w:space="0"/>
            </w:tcBorders>
            <w:shd w:val="clear" w:color="auto" w:fill="auto"/>
            <w:vAlign w:val="center"/>
          </w:tcPr>
          <w:p>
            <w:pPr>
              <w:jc w:val="center"/>
              <w:rPr>
                <w:rFonts w:ascii="楷体" w:hAnsi="楷体" w:eastAsia="楷体" w:cs="宋体"/>
                <w:kern w:val="0"/>
                <w:szCs w:val="21"/>
              </w:rPr>
            </w:pPr>
          </w:p>
        </w:tc>
      </w:tr>
      <w:bookmarkEnd w:id="9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restart"/>
            <w:vAlign w:val="center"/>
          </w:tcPr>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p>
          <w:p>
            <w:pPr>
              <w:adjustRightInd w:val="0"/>
              <w:snapToGrid w:val="0"/>
              <w:jc w:val="center"/>
              <w:rPr>
                <w:rFonts w:ascii="楷体" w:hAnsi="楷体" w:eastAsia="楷体" w:cs="楷体"/>
                <w:szCs w:val="21"/>
              </w:rPr>
            </w:pPr>
            <w:r>
              <w:rPr>
                <w:rFonts w:hint="eastAsia" w:ascii="楷体" w:hAnsi="楷体" w:eastAsia="楷体" w:cs="楷体"/>
                <w:szCs w:val="21"/>
              </w:rPr>
              <w:t>专业技能课程</w:t>
            </w:r>
          </w:p>
        </w:tc>
        <w:tc>
          <w:tcPr>
            <w:tcW w:w="782" w:type="dxa"/>
            <w:vMerge w:val="restart"/>
            <w:vAlign w:val="center"/>
          </w:tcPr>
          <w:p>
            <w:pPr>
              <w:snapToGrid w:val="0"/>
              <w:jc w:val="left"/>
              <w:rPr>
                <w:rFonts w:ascii="楷体" w:hAnsi="楷体" w:eastAsia="楷体" w:cs="楷体"/>
                <w:szCs w:val="21"/>
              </w:rPr>
            </w:pPr>
          </w:p>
          <w:p>
            <w:pPr>
              <w:snapToGrid w:val="0"/>
              <w:jc w:val="left"/>
              <w:rPr>
                <w:rFonts w:ascii="楷体" w:hAnsi="楷体" w:eastAsia="楷体" w:cs="楷体"/>
                <w:szCs w:val="21"/>
              </w:rPr>
            </w:pPr>
            <w:r>
              <w:rPr>
                <w:rFonts w:hint="eastAsia" w:ascii="楷体" w:hAnsi="楷体" w:eastAsia="楷体" w:cs="楷体"/>
                <w:szCs w:val="21"/>
              </w:rPr>
              <w:t>专业核心课程</w:t>
            </w: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p>
        </w:tc>
        <w:tc>
          <w:tcPr>
            <w:tcW w:w="2754" w:type="dxa"/>
            <w:vAlign w:val="center"/>
          </w:tcPr>
          <w:p>
            <w:pPr>
              <w:jc w:val="left"/>
              <w:rPr>
                <w:rFonts w:ascii="楷体" w:hAnsi="楷体" w:eastAsia="楷体" w:cs="楷体"/>
                <w:szCs w:val="21"/>
              </w:rPr>
            </w:pPr>
            <w:r>
              <w:rPr>
                <w:rFonts w:hint="eastAsia" w:ascii="楷体" w:hAnsi="楷体" w:eastAsia="楷体" w:cs="楷体"/>
                <w:szCs w:val="21"/>
              </w:rPr>
              <w:t>汽车文化</w:t>
            </w:r>
          </w:p>
        </w:tc>
        <w:tc>
          <w:tcPr>
            <w:tcW w:w="540" w:type="dxa"/>
            <w:vAlign w:val="center"/>
          </w:tcPr>
          <w:p>
            <w:pPr>
              <w:jc w:val="center"/>
              <w:rPr>
                <w:rFonts w:ascii="楷体" w:hAnsi="楷体" w:eastAsia="楷体" w:cs="楷体"/>
                <w:szCs w:val="21"/>
              </w:rPr>
            </w:pPr>
            <w:r>
              <w:rPr>
                <w:rFonts w:hint="eastAsia" w:ascii="楷体" w:hAnsi="楷体" w:eastAsia="楷体" w:cs="楷体"/>
                <w:szCs w:val="21"/>
              </w:rPr>
              <w:t>36</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2</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2</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widowControl/>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2754" w:type="dxa"/>
            <w:vAlign w:val="center"/>
          </w:tcPr>
          <w:p>
            <w:pPr>
              <w:jc w:val="left"/>
              <w:rPr>
                <w:rFonts w:ascii="楷体" w:hAnsi="楷体" w:eastAsia="楷体" w:cs="楷体"/>
                <w:szCs w:val="21"/>
              </w:rPr>
            </w:pPr>
            <w:r>
              <w:rPr>
                <w:rFonts w:hint="eastAsia" w:ascii="楷体" w:hAnsi="楷体" w:eastAsia="楷体" w:cs="楷体"/>
                <w:szCs w:val="21"/>
              </w:rPr>
              <w:t>汽车机械基础</w:t>
            </w:r>
          </w:p>
        </w:tc>
        <w:tc>
          <w:tcPr>
            <w:tcW w:w="540" w:type="dxa"/>
            <w:vAlign w:val="center"/>
          </w:tcPr>
          <w:p>
            <w:pPr>
              <w:jc w:val="center"/>
              <w:rPr>
                <w:rFonts w:ascii="楷体" w:hAnsi="楷体" w:eastAsia="楷体" w:cs="楷体"/>
                <w:szCs w:val="21"/>
              </w:rPr>
            </w:pPr>
            <w:r>
              <w:rPr>
                <w:rFonts w:hint="eastAsia" w:ascii="楷体" w:hAnsi="楷体" w:eastAsia="楷体" w:cs="楷体"/>
                <w:szCs w:val="21"/>
              </w:rPr>
              <w:t>108</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6</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6</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widowControl/>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3</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汽车电工电子</w:t>
            </w:r>
            <w:r>
              <w:rPr>
                <w:rFonts w:hint="default" w:ascii="楷体" w:hAnsi="楷体" w:eastAsia="楷体" w:cs="楷体"/>
                <w:color w:val="auto"/>
                <w:szCs w:val="21"/>
              </w:rPr>
              <w:t>技术</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108</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6</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6</w:t>
            </w:r>
          </w:p>
        </w:tc>
        <w:tc>
          <w:tcPr>
            <w:tcW w:w="623" w:type="dxa"/>
            <w:vAlign w:val="center"/>
          </w:tcPr>
          <w:p>
            <w:pPr>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widowControl/>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4</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汽车识图</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72</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5</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汽车发动机构造与维修</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108</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6</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r>
              <w:rPr>
                <w:rFonts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6</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汽车底盘构造与维修</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108</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6</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r>
              <w:rPr>
                <w:rFonts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7</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汽车发动机电控系统</w:t>
            </w:r>
            <w:r>
              <w:rPr>
                <w:rFonts w:hint="default" w:ascii="楷体" w:hAnsi="楷体" w:eastAsia="楷体" w:cs="楷体"/>
                <w:color w:val="auto"/>
                <w:szCs w:val="21"/>
              </w:rPr>
              <w:t>检修</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108</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6</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8</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汽车使用与维护</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72</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9</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汽车维修质量检验</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72</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4</w:t>
            </w:r>
          </w:p>
        </w:tc>
        <w:tc>
          <w:tcPr>
            <w:tcW w:w="623" w:type="dxa"/>
            <w:vAlign w:val="center"/>
          </w:tcPr>
          <w:p>
            <w:pPr>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3979" w:type="dxa"/>
            <w:gridSpan w:val="3"/>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认知实习</w:t>
            </w:r>
          </w:p>
        </w:tc>
        <w:tc>
          <w:tcPr>
            <w:tcW w:w="540"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72</w:t>
            </w: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4</w:t>
            </w: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4</w:t>
            </w: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3979" w:type="dxa"/>
            <w:gridSpan w:val="3"/>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跟岗实习</w:t>
            </w:r>
          </w:p>
        </w:tc>
        <w:tc>
          <w:tcPr>
            <w:tcW w:w="540"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144</w:t>
            </w: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8</w:t>
            </w: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xml:space="preserve">8 </w:t>
            </w:r>
          </w:p>
        </w:tc>
        <w:tc>
          <w:tcPr>
            <w:tcW w:w="623" w:type="dxa"/>
            <w:vAlign w:val="center"/>
          </w:tcPr>
          <w:p>
            <w:pPr>
              <w:widowControl/>
              <w:jc w:val="center"/>
              <w:rPr>
                <w:rFonts w:ascii="楷体" w:hAnsi="楷体" w:eastAsia="楷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3979" w:type="dxa"/>
            <w:gridSpan w:val="3"/>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顶岗实习（占总学时的</w:t>
            </w:r>
            <w:r>
              <w:rPr>
                <w:rFonts w:ascii="楷体" w:hAnsi="楷体" w:eastAsia="楷体" w:cs="宋体"/>
                <w:color w:val="auto"/>
                <w:kern w:val="0"/>
                <w:szCs w:val="21"/>
              </w:rPr>
              <w:t>16</w:t>
            </w:r>
            <w:r>
              <w:rPr>
                <w:rFonts w:hint="eastAsia" w:ascii="楷体" w:hAnsi="楷体" w:eastAsia="楷体" w:cs="宋体"/>
                <w:color w:val="auto"/>
                <w:kern w:val="0"/>
                <w:szCs w:val="21"/>
              </w:rPr>
              <w:t>.</w:t>
            </w:r>
            <w:r>
              <w:rPr>
                <w:rFonts w:ascii="楷体" w:hAnsi="楷体" w:eastAsia="楷体" w:cs="宋体"/>
                <w:color w:val="auto"/>
                <w:kern w:val="0"/>
                <w:szCs w:val="21"/>
              </w:rPr>
              <w:t>67</w:t>
            </w:r>
            <w:r>
              <w:rPr>
                <w:rFonts w:hint="eastAsia" w:ascii="楷体" w:hAnsi="楷体" w:eastAsia="楷体" w:cs="宋体"/>
                <w:color w:val="auto"/>
                <w:kern w:val="0"/>
                <w:szCs w:val="21"/>
              </w:rPr>
              <w:t>%）</w:t>
            </w:r>
          </w:p>
        </w:tc>
        <w:tc>
          <w:tcPr>
            <w:tcW w:w="540"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5</w:t>
            </w:r>
            <w:r>
              <w:rPr>
                <w:rFonts w:ascii="楷体" w:hAnsi="楷体" w:eastAsia="楷体" w:cs="宋体"/>
                <w:color w:val="auto"/>
                <w:kern w:val="0"/>
                <w:szCs w:val="21"/>
              </w:rPr>
              <w:t>40</w:t>
            </w: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3</w:t>
            </w:r>
            <w:r>
              <w:rPr>
                <w:rFonts w:ascii="楷体" w:hAnsi="楷体" w:eastAsia="楷体" w:cs="宋体"/>
                <w:color w:val="auto"/>
                <w:kern w:val="0"/>
                <w:szCs w:val="21"/>
              </w:rPr>
              <w:t>0</w:t>
            </w: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p>
        </w:tc>
        <w:tc>
          <w:tcPr>
            <w:tcW w:w="623" w:type="dxa"/>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汽车机电维修</w:t>
            </w:r>
            <w:r>
              <w:rPr>
                <w:rFonts w:ascii="楷体" w:hAnsi="楷体" w:eastAsia="楷体" w:cs="楷体"/>
                <w:szCs w:val="21"/>
              </w:rPr>
              <w:t>方向核心</w:t>
            </w:r>
          </w:p>
        </w:tc>
        <w:tc>
          <w:tcPr>
            <w:tcW w:w="443" w:type="dxa"/>
            <w:vAlign w:val="center"/>
          </w:tcPr>
          <w:p>
            <w:pPr>
              <w:snapToGrid w:val="0"/>
              <w:jc w:val="center"/>
              <w:rPr>
                <w:rFonts w:ascii="楷体" w:hAnsi="楷体" w:eastAsia="楷体" w:cs="楷体"/>
                <w:color w:val="auto"/>
                <w:szCs w:val="21"/>
              </w:rPr>
            </w:pPr>
            <w:r>
              <w:rPr>
                <w:rFonts w:hint="eastAsia" w:ascii="楷体" w:hAnsi="楷体" w:eastAsia="楷体" w:cs="楷体"/>
                <w:color w:val="auto"/>
                <w:szCs w:val="21"/>
              </w:rPr>
              <w:t>1</w:t>
            </w:r>
          </w:p>
        </w:tc>
        <w:tc>
          <w:tcPr>
            <w:tcW w:w="2754" w:type="dxa"/>
            <w:vAlign w:val="center"/>
          </w:tcPr>
          <w:p>
            <w:pPr>
              <w:snapToGrid w:val="0"/>
              <w:jc w:val="left"/>
              <w:rPr>
                <w:rFonts w:ascii="楷体" w:hAnsi="楷体" w:eastAsia="楷体" w:cs="楷体"/>
                <w:color w:val="auto"/>
                <w:szCs w:val="21"/>
              </w:rPr>
            </w:pPr>
            <w:r>
              <w:rPr>
                <w:rFonts w:hint="eastAsia" w:ascii="楷体" w:hAnsi="楷体" w:eastAsia="楷体" w:cs="楷体"/>
                <w:color w:val="auto"/>
                <w:szCs w:val="21"/>
              </w:rPr>
              <w:t>汽车车身电控系统构造与维修</w:t>
            </w:r>
          </w:p>
        </w:tc>
        <w:tc>
          <w:tcPr>
            <w:tcW w:w="540"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144</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8</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5</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2</w:t>
            </w:r>
          </w:p>
        </w:tc>
        <w:tc>
          <w:tcPr>
            <w:tcW w:w="2754" w:type="dxa"/>
            <w:vAlign w:val="center"/>
          </w:tcPr>
          <w:p>
            <w:pPr>
              <w:adjustRightInd w:val="0"/>
              <w:snapToGrid w:val="0"/>
              <w:jc w:val="left"/>
              <w:rPr>
                <w:rFonts w:ascii="楷体" w:hAnsi="楷体" w:eastAsia="楷体" w:cs="楷体"/>
                <w:color w:val="auto"/>
                <w:szCs w:val="21"/>
              </w:rPr>
            </w:pPr>
            <w:r>
              <w:rPr>
                <w:rFonts w:hint="eastAsia" w:ascii="楷体" w:hAnsi="楷体" w:eastAsia="楷体" w:cs="楷体"/>
                <w:color w:val="auto"/>
                <w:szCs w:val="21"/>
              </w:rPr>
              <w:t>汽车底盘电控系统构造与维修</w:t>
            </w:r>
          </w:p>
        </w:tc>
        <w:tc>
          <w:tcPr>
            <w:tcW w:w="540" w:type="dxa"/>
            <w:vAlign w:val="center"/>
          </w:tcPr>
          <w:p>
            <w:pPr>
              <w:jc w:val="center"/>
              <w:rPr>
                <w:color w:val="auto"/>
              </w:rPr>
            </w:pPr>
            <w:r>
              <w:rPr>
                <w:rFonts w:hint="eastAsia" w:ascii="楷体" w:hAnsi="楷体" w:eastAsia="楷体" w:cs="楷体"/>
                <w:color w:val="auto"/>
                <w:szCs w:val="21"/>
              </w:rPr>
              <w:t>144</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8</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5</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汽车电气维修方向</w:t>
            </w:r>
          </w:p>
          <w:p>
            <w:pPr>
              <w:adjustRightInd w:val="0"/>
              <w:snapToGrid w:val="0"/>
              <w:jc w:val="center"/>
              <w:rPr>
                <w:rFonts w:ascii="楷体" w:hAnsi="楷体" w:eastAsia="楷体" w:cs="楷体"/>
                <w:szCs w:val="21"/>
              </w:rPr>
            </w:pPr>
            <w:r>
              <w:rPr>
                <w:rFonts w:ascii="楷体" w:hAnsi="楷体" w:eastAsia="楷体" w:cs="楷体"/>
                <w:szCs w:val="21"/>
              </w:rPr>
              <w:t>核心</w:t>
            </w:r>
          </w:p>
        </w:tc>
        <w:tc>
          <w:tcPr>
            <w:tcW w:w="44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1</w:t>
            </w:r>
          </w:p>
        </w:tc>
        <w:tc>
          <w:tcPr>
            <w:tcW w:w="2754" w:type="dxa"/>
            <w:vAlign w:val="center"/>
          </w:tcPr>
          <w:p>
            <w:pPr>
              <w:jc w:val="left"/>
              <w:rPr>
                <w:rFonts w:ascii="楷体" w:hAnsi="楷体" w:eastAsia="楷体" w:cs="楷体"/>
                <w:color w:val="auto"/>
                <w:szCs w:val="21"/>
              </w:rPr>
            </w:pPr>
            <w:r>
              <w:rPr>
                <w:rFonts w:hint="eastAsia" w:ascii="楷体" w:hAnsi="楷体" w:eastAsia="楷体" w:cs="楷体"/>
                <w:color w:val="auto"/>
                <w:szCs w:val="21"/>
              </w:rPr>
              <w:t>汽车电气设备构造与维修</w:t>
            </w:r>
          </w:p>
        </w:tc>
        <w:tc>
          <w:tcPr>
            <w:tcW w:w="540" w:type="dxa"/>
            <w:vAlign w:val="center"/>
          </w:tcPr>
          <w:p>
            <w:pPr>
              <w:jc w:val="center"/>
              <w:rPr>
                <w:color w:val="auto"/>
              </w:rPr>
            </w:pPr>
            <w:r>
              <w:rPr>
                <w:rFonts w:hint="eastAsia" w:ascii="楷体" w:hAnsi="楷体" w:eastAsia="楷体" w:cs="楷体"/>
                <w:color w:val="auto"/>
                <w:szCs w:val="21"/>
              </w:rPr>
              <w:t>144</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8</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5</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color w:val="auto"/>
                <w:szCs w:val="21"/>
              </w:rPr>
            </w:pPr>
            <w:r>
              <w:rPr>
                <w:rFonts w:hint="eastAsia" w:ascii="楷体" w:hAnsi="楷体" w:eastAsia="楷体" w:cs="楷体"/>
                <w:color w:val="auto"/>
                <w:szCs w:val="21"/>
              </w:rPr>
              <w:t>2</w:t>
            </w:r>
          </w:p>
        </w:tc>
        <w:tc>
          <w:tcPr>
            <w:tcW w:w="2754" w:type="dxa"/>
            <w:vAlign w:val="center"/>
          </w:tcPr>
          <w:p>
            <w:pPr>
              <w:adjustRightInd w:val="0"/>
              <w:snapToGrid w:val="0"/>
              <w:jc w:val="left"/>
              <w:rPr>
                <w:rFonts w:ascii="楷体" w:hAnsi="楷体" w:eastAsia="楷体" w:cs="楷体"/>
                <w:color w:val="auto"/>
                <w:szCs w:val="21"/>
              </w:rPr>
            </w:pPr>
            <w:r>
              <w:rPr>
                <w:rFonts w:hint="eastAsia" w:ascii="楷体" w:hAnsi="楷体" w:eastAsia="楷体" w:cs="楷体"/>
                <w:color w:val="auto"/>
                <w:szCs w:val="21"/>
              </w:rPr>
              <w:t>汽车空调系统构造与维修</w:t>
            </w:r>
          </w:p>
        </w:tc>
        <w:tc>
          <w:tcPr>
            <w:tcW w:w="540" w:type="dxa"/>
            <w:vAlign w:val="center"/>
          </w:tcPr>
          <w:p>
            <w:pPr>
              <w:jc w:val="center"/>
              <w:rPr>
                <w:color w:val="auto"/>
              </w:rPr>
            </w:pPr>
            <w:r>
              <w:rPr>
                <w:rFonts w:hint="eastAsia" w:ascii="楷体" w:hAnsi="楷体" w:eastAsia="楷体" w:cs="楷体"/>
                <w:color w:val="auto"/>
                <w:szCs w:val="21"/>
              </w:rPr>
              <w:t>144</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8</w:t>
            </w: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5</w:t>
            </w:r>
          </w:p>
        </w:tc>
        <w:tc>
          <w:tcPr>
            <w:tcW w:w="623" w:type="dxa"/>
            <w:vAlign w:val="center"/>
          </w:tcPr>
          <w:p>
            <w:pPr>
              <w:jc w:val="center"/>
              <w:rPr>
                <w:rFonts w:ascii="楷体" w:hAnsi="楷体" w:eastAsia="楷体" w:cs="楷体"/>
                <w:color w:val="auto"/>
                <w:szCs w:val="21"/>
              </w:rPr>
            </w:pPr>
            <w:r>
              <w:rPr>
                <w:rFonts w:hint="eastAsia" w:ascii="楷体" w:hAnsi="楷体" w:eastAsia="楷体" w:cs="楷体"/>
                <w:color w:val="auto"/>
                <w:szCs w:val="21"/>
              </w:rPr>
              <w:t>3</w:t>
            </w:r>
          </w:p>
        </w:tc>
        <w:tc>
          <w:tcPr>
            <w:tcW w:w="623" w:type="dxa"/>
            <w:vAlign w:val="center"/>
          </w:tcPr>
          <w:p>
            <w:pPr>
              <w:adjustRightInd w:val="0"/>
              <w:snapToGrid w:val="0"/>
              <w:jc w:val="center"/>
              <w:rPr>
                <w:rFonts w:ascii="楷体" w:hAnsi="楷体" w:eastAsia="楷体" w:cs="楷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汽车性能检测</w:t>
            </w:r>
            <w:r>
              <w:rPr>
                <w:rFonts w:ascii="楷体" w:hAnsi="楷体" w:eastAsia="楷体" w:cs="楷体"/>
                <w:szCs w:val="21"/>
              </w:rPr>
              <w:t>方向</w:t>
            </w:r>
          </w:p>
          <w:p>
            <w:pPr>
              <w:adjustRightInd w:val="0"/>
              <w:snapToGrid w:val="0"/>
              <w:jc w:val="center"/>
              <w:rPr>
                <w:rFonts w:ascii="楷体" w:hAnsi="楷体" w:eastAsia="楷体" w:cs="楷体"/>
                <w:szCs w:val="21"/>
              </w:rPr>
            </w:pPr>
            <w:r>
              <w:rPr>
                <w:rFonts w:ascii="楷体" w:hAnsi="楷体" w:eastAsia="楷体" w:cs="楷体"/>
                <w:szCs w:val="21"/>
              </w:rPr>
              <w:t>核心</w:t>
            </w:r>
          </w:p>
        </w:tc>
        <w:tc>
          <w:tcPr>
            <w:tcW w:w="443" w:type="dxa"/>
            <w:vAlign w:val="center"/>
          </w:tcPr>
          <w:p>
            <w:pPr>
              <w:jc w:val="center"/>
              <w:rPr>
                <w:rFonts w:ascii="楷体" w:hAnsi="楷体" w:eastAsia="楷体" w:cs="楷体"/>
                <w:szCs w:val="21"/>
              </w:rPr>
            </w:pPr>
            <w:r>
              <w:rPr>
                <w:rFonts w:hint="eastAsia" w:ascii="楷体" w:hAnsi="楷体" w:eastAsia="楷体" w:cs="楷体"/>
                <w:szCs w:val="21"/>
              </w:rPr>
              <w:t>1</w:t>
            </w:r>
          </w:p>
        </w:tc>
        <w:tc>
          <w:tcPr>
            <w:tcW w:w="2754" w:type="dxa"/>
            <w:vAlign w:val="center"/>
          </w:tcPr>
          <w:p>
            <w:pPr>
              <w:jc w:val="left"/>
              <w:rPr>
                <w:rFonts w:ascii="楷体" w:hAnsi="楷体" w:eastAsia="楷体" w:cs="楷体"/>
                <w:szCs w:val="21"/>
              </w:rPr>
            </w:pPr>
            <w:r>
              <w:rPr>
                <w:rFonts w:hint="eastAsia" w:ascii="楷体" w:hAnsi="楷体" w:eastAsia="楷体" w:cs="楷体"/>
                <w:szCs w:val="21"/>
              </w:rPr>
              <w:t>汽车检测与诊断技术</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汽车评估技术</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汽车维修业务接待方向</w:t>
            </w:r>
          </w:p>
          <w:p>
            <w:pPr>
              <w:adjustRightInd w:val="0"/>
              <w:snapToGrid w:val="0"/>
              <w:jc w:val="center"/>
              <w:rPr>
                <w:rFonts w:ascii="楷体" w:hAnsi="楷体" w:eastAsia="楷体" w:cs="楷体"/>
                <w:szCs w:val="21"/>
              </w:rPr>
            </w:pPr>
            <w:r>
              <w:rPr>
                <w:rFonts w:ascii="楷体" w:hAnsi="楷体" w:eastAsia="楷体" w:cs="楷体"/>
                <w:szCs w:val="21"/>
              </w:rPr>
              <w:t>核心</w:t>
            </w: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汽车检测与诊断技术</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汽车维修业务接待</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新能源汽车技术方向</w:t>
            </w:r>
            <w:r>
              <w:rPr>
                <w:rFonts w:ascii="楷体" w:hAnsi="楷体" w:eastAsia="楷体" w:cs="楷体"/>
                <w:szCs w:val="21"/>
              </w:rPr>
              <w:t>核心</w:t>
            </w: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新能源汽车概论</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电动汽车检修</w:t>
            </w:r>
          </w:p>
        </w:tc>
        <w:tc>
          <w:tcPr>
            <w:tcW w:w="540" w:type="dxa"/>
            <w:vAlign w:val="center"/>
          </w:tcPr>
          <w:p>
            <w:pPr>
              <w:jc w:val="center"/>
            </w:pPr>
            <w:r>
              <w:rPr>
                <w:rFonts w:hint="eastAsia" w:ascii="楷体" w:hAnsi="楷体" w:eastAsia="楷体" w:cs="楷体"/>
                <w:szCs w:val="21"/>
              </w:rPr>
              <w:t>144</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8</w:t>
            </w: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5</w:t>
            </w:r>
          </w:p>
        </w:tc>
        <w:tc>
          <w:tcPr>
            <w:tcW w:w="623" w:type="dxa"/>
            <w:vAlign w:val="center"/>
          </w:tcPr>
          <w:p>
            <w:pPr>
              <w:jc w:val="center"/>
              <w:rPr>
                <w:rFonts w:ascii="楷体" w:hAnsi="楷体" w:eastAsia="楷体" w:cs="楷体"/>
                <w:szCs w:val="21"/>
              </w:rPr>
            </w:pPr>
            <w:r>
              <w:rPr>
                <w:rFonts w:hint="eastAsia" w:ascii="楷体" w:hAnsi="楷体" w:eastAsia="楷体" w:cs="楷体"/>
                <w:szCs w:val="21"/>
              </w:rPr>
              <w:t>3</w:t>
            </w: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专业选修课程</w:t>
            </w: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1</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汽车车身修复技术</w:t>
            </w:r>
          </w:p>
        </w:tc>
        <w:tc>
          <w:tcPr>
            <w:tcW w:w="540"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288</w:t>
            </w:r>
          </w:p>
        </w:tc>
        <w:tc>
          <w:tcPr>
            <w:tcW w:w="623" w:type="dxa"/>
            <w:vMerge w:val="restart"/>
            <w:vAlign w:val="center"/>
          </w:tcPr>
          <w:p>
            <w:pPr>
              <w:jc w:val="center"/>
              <w:rPr>
                <w:rFonts w:ascii="楷体" w:hAnsi="楷体" w:eastAsia="楷体" w:cs="楷体"/>
                <w:szCs w:val="21"/>
              </w:rPr>
            </w:pPr>
            <w:r>
              <w:rPr>
                <w:rFonts w:hint="eastAsia" w:ascii="楷体" w:hAnsi="楷体" w:eastAsia="楷体" w:cs="楷体"/>
                <w:szCs w:val="21"/>
              </w:rPr>
              <w:t>16</w:t>
            </w:r>
          </w:p>
        </w:tc>
        <w:tc>
          <w:tcPr>
            <w:tcW w:w="623"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623"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623"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4</w:t>
            </w:r>
          </w:p>
        </w:tc>
        <w:tc>
          <w:tcPr>
            <w:tcW w:w="623"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3</w:t>
            </w:r>
          </w:p>
        </w:tc>
        <w:tc>
          <w:tcPr>
            <w:tcW w:w="623" w:type="dxa"/>
            <w:vMerge w:val="restart"/>
            <w:vAlign w:val="center"/>
          </w:tcPr>
          <w:p>
            <w:pPr>
              <w:adjustRightInd w:val="0"/>
              <w:snapToGrid w:val="0"/>
              <w:jc w:val="center"/>
              <w:rPr>
                <w:rFonts w:ascii="楷体" w:hAnsi="楷体" w:eastAsia="楷体" w:cs="楷体"/>
                <w:szCs w:val="21"/>
              </w:rPr>
            </w:pPr>
            <w:r>
              <w:rPr>
                <w:rFonts w:hint="eastAsia" w:ascii="楷体" w:hAnsi="楷体" w:eastAsia="楷体" w:cs="楷体"/>
                <w:szCs w:val="21"/>
              </w:rPr>
              <w:t>5</w:t>
            </w:r>
          </w:p>
        </w:tc>
        <w:tc>
          <w:tcPr>
            <w:tcW w:w="623" w:type="dxa"/>
            <w:vMerge w:val="restart"/>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2</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汽车美容与装潢</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3</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汽车整车与配件营销</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4</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汽车安全驾驶技术</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5</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汽车服务企业管理</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6</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汽车维修资料检索</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hint="eastAsia" w:ascii="楷体" w:hAnsi="楷体" w:eastAsia="楷体" w:cs="楷体"/>
                <w:szCs w:val="21"/>
              </w:rPr>
              <w:t>7</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汽车多媒体技术</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ascii="楷体" w:hAnsi="楷体" w:eastAsia="楷体" w:cs="楷体"/>
                <w:szCs w:val="21"/>
              </w:rPr>
              <w:t>8</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其他专业技能方向课程</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782" w:type="dxa"/>
            <w:vMerge w:val="continue"/>
            <w:vAlign w:val="center"/>
          </w:tcPr>
          <w:p>
            <w:pPr>
              <w:adjustRightInd w:val="0"/>
              <w:snapToGrid w:val="0"/>
              <w:jc w:val="center"/>
              <w:rPr>
                <w:rFonts w:ascii="楷体" w:hAnsi="楷体" w:eastAsia="楷体" w:cs="楷体"/>
                <w:szCs w:val="21"/>
              </w:rPr>
            </w:pPr>
          </w:p>
        </w:tc>
        <w:tc>
          <w:tcPr>
            <w:tcW w:w="443" w:type="dxa"/>
            <w:vAlign w:val="center"/>
          </w:tcPr>
          <w:p>
            <w:pPr>
              <w:adjustRightInd w:val="0"/>
              <w:snapToGrid w:val="0"/>
              <w:jc w:val="center"/>
              <w:rPr>
                <w:rFonts w:ascii="楷体" w:hAnsi="楷体" w:eastAsia="楷体" w:cs="楷体"/>
                <w:szCs w:val="21"/>
              </w:rPr>
            </w:pPr>
            <w:r>
              <w:rPr>
                <w:rFonts w:ascii="楷体" w:hAnsi="楷体" w:eastAsia="楷体" w:cs="楷体"/>
                <w:szCs w:val="21"/>
              </w:rPr>
              <w:t>9</w:t>
            </w:r>
          </w:p>
        </w:tc>
        <w:tc>
          <w:tcPr>
            <w:tcW w:w="2754" w:type="dxa"/>
            <w:vAlign w:val="center"/>
          </w:tcPr>
          <w:p>
            <w:pPr>
              <w:adjustRightInd w:val="0"/>
              <w:snapToGrid w:val="0"/>
              <w:jc w:val="left"/>
              <w:rPr>
                <w:rFonts w:ascii="楷体" w:hAnsi="楷体" w:eastAsia="楷体" w:cs="楷体"/>
                <w:szCs w:val="21"/>
              </w:rPr>
            </w:pPr>
            <w:r>
              <w:rPr>
                <w:rFonts w:hint="eastAsia" w:ascii="楷体" w:hAnsi="楷体" w:eastAsia="楷体" w:cs="楷体"/>
                <w:szCs w:val="21"/>
              </w:rPr>
              <w:t>学校特色课程</w:t>
            </w:r>
          </w:p>
        </w:tc>
        <w:tc>
          <w:tcPr>
            <w:tcW w:w="540"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c>
          <w:tcPr>
            <w:tcW w:w="623" w:type="dxa"/>
            <w:vMerge w:val="continue"/>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08" w:type="dxa"/>
            <w:vMerge w:val="continue"/>
            <w:vAlign w:val="center"/>
          </w:tcPr>
          <w:p>
            <w:pPr>
              <w:adjustRightInd w:val="0"/>
              <w:snapToGrid w:val="0"/>
              <w:jc w:val="center"/>
              <w:rPr>
                <w:rFonts w:ascii="楷体" w:hAnsi="楷体" w:eastAsia="楷体" w:cs="楷体"/>
                <w:szCs w:val="21"/>
              </w:rPr>
            </w:pPr>
          </w:p>
        </w:tc>
        <w:tc>
          <w:tcPr>
            <w:tcW w:w="3979" w:type="dxa"/>
            <w:gridSpan w:val="3"/>
            <w:vAlign w:val="center"/>
          </w:tcPr>
          <w:p>
            <w:pPr>
              <w:adjustRightInd w:val="0"/>
              <w:snapToGrid w:val="0"/>
              <w:jc w:val="center"/>
              <w:rPr>
                <w:rFonts w:ascii="楷体" w:hAnsi="楷体" w:eastAsia="楷体" w:cs="楷体"/>
                <w:szCs w:val="21"/>
              </w:rPr>
            </w:pPr>
            <w:r>
              <w:rPr>
                <w:rFonts w:hint="eastAsia" w:ascii="楷体" w:hAnsi="楷体" w:eastAsia="楷体" w:cs="宋体"/>
                <w:kern w:val="0"/>
                <w:szCs w:val="21"/>
              </w:rPr>
              <w:t>小计（占总学时的48.89%）</w:t>
            </w:r>
          </w:p>
        </w:tc>
        <w:tc>
          <w:tcPr>
            <w:tcW w:w="540"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1584</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88</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14</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14</w:t>
            </w:r>
          </w:p>
        </w:tc>
        <w:tc>
          <w:tcPr>
            <w:tcW w:w="623" w:type="dxa"/>
            <w:vAlign w:val="center"/>
          </w:tcPr>
          <w:p>
            <w:pPr>
              <w:widowControl/>
              <w:jc w:val="center"/>
              <w:rPr>
                <w:rFonts w:ascii="楷体" w:hAnsi="楷体" w:eastAsia="楷体" w:cs="宋体"/>
                <w:kern w:val="0"/>
                <w:szCs w:val="21"/>
              </w:rPr>
            </w:pPr>
            <w:r>
              <w:rPr>
                <w:rFonts w:ascii="楷体" w:hAnsi="楷体" w:eastAsia="楷体" w:cs="宋体"/>
                <w:kern w:val="0"/>
                <w:szCs w:val="21"/>
              </w:rPr>
              <w:t>17</w:t>
            </w:r>
          </w:p>
        </w:tc>
        <w:tc>
          <w:tcPr>
            <w:tcW w:w="623" w:type="dxa"/>
            <w:vAlign w:val="center"/>
          </w:tcPr>
          <w:p>
            <w:pPr>
              <w:widowControl/>
              <w:jc w:val="center"/>
              <w:rPr>
                <w:rFonts w:ascii="楷体" w:hAnsi="楷体" w:eastAsia="楷体" w:cs="宋体"/>
                <w:kern w:val="0"/>
                <w:szCs w:val="21"/>
              </w:rPr>
            </w:pPr>
            <w:r>
              <w:rPr>
                <w:rFonts w:ascii="楷体" w:hAnsi="楷体" w:eastAsia="楷体" w:cs="宋体"/>
                <w:kern w:val="0"/>
                <w:szCs w:val="21"/>
              </w:rPr>
              <w:t>16</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27</w:t>
            </w:r>
          </w:p>
        </w:tc>
        <w:tc>
          <w:tcPr>
            <w:tcW w:w="623" w:type="dxa"/>
            <w:vAlign w:val="center"/>
          </w:tcPr>
          <w:p>
            <w:pPr>
              <w:widowControl/>
              <w:jc w:val="center"/>
              <w:rPr>
                <w:rFonts w:ascii="楷体" w:hAnsi="楷体" w:eastAsia="楷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87" w:type="dxa"/>
            <w:gridSpan w:val="4"/>
            <w:vAlign w:val="center"/>
          </w:tcPr>
          <w:p>
            <w:pPr>
              <w:widowControl/>
              <w:jc w:val="center"/>
              <w:rPr>
                <w:rFonts w:ascii="楷体" w:hAnsi="楷体" w:eastAsia="楷体" w:cs="宋体"/>
                <w:kern w:val="0"/>
                <w:szCs w:val="21"/>
              </w:rPr>
            </w:pPr>
            <w:r>
              <w:rPr>
                <w:rFonts w:hint="eastAsia" w:ascii="楷体" w:hAnsi="楷体" w:eastAsia="楷体" w:cs="宋体"/>
                <w:kern w:val="0"/>
                <w:szCs w:val="21"/>
              </w:rPr>
              <w:t>社会实践等</w:t>
            </w:r>
          </w:p>
        </w:tc>
        <w:tc>
          <w:tcPr>
            <w:tcW w:w="540" w:type="dxa"/>
            <w:vAlign w:val="center"/>
          </w:tcPr>
          <w:p>
            <w:pPr>
              <w:widowControl/>
              <w:jc w:val="center"/>
              <w:rPr>
                <w:rFonts w:ascii="楷体" w:hAnsi="楷体" w:eastAsia="楷体" w:cs="宋体"/>
                <w:kern w:val="0"/>
                <w:szCs w:val="21"/>
              </w:rPr>
            </w:pPr>
          </w:p>
        </w:tc>
        <w:tc>
          <w:tcPr>
            <w:tcW w:w="623" w:type="dxa"/>
            <w:vAlign w:val="center"/>
          </w:tcPr>
          <w:p>
            <w:pPr>
              <w:jc w:val="center"/>
              <w:rPr>
                <w:rFonts w:ascii="楷体" w:hAnsi="楷体" w:eastAsia="楷体" w:cs="楷体"/>
                <w:szCs w:val="21"/>
              </w:rPr>
            </w:pPr>
            <w:r>
              <w:rPr>
                <w:rFonts w:hint="eastAsia" w:ascii="楷体" w:hAnsi="楷体" w:eastAsia="楷体" w:cs="楷体"/>
                <w:szCs w:val="21"/>
              </w:rPr>
              <w:t>4</w:t>
            </w: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c>
          <w:tcPr>
            <w:tcW w:w="623" w:type="dxa"/>
            <w:vAlign w:val="center"/>
          </w:tcPr>
          <w:p>
            <w:pPr>
              <w:adjustRightInd w:val="0"/>
              <w:snapToGrid w:val="0"/>
              <w:jc w:val="center"/>
              <w:rPr>
                <w:rFonts w:ascii="楷体" w:hAnsi="楷体" w:eastAsia="楷体" w:cs="楷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4587" w:type="dxa"/>
            <w:gridSpan w:val="4"/>
            <w:vAlign w:val="center"/>
          </w:tcPr>
          <w:p>
            <w:pPr>
              <w:adjustRightInd w:val="0"/>
              <w:snapToGrid w:val="0"/>
              <w:jc w:val="center"/>
              <w:rPr>
                <w:rFonts w:ascii="楷体" w:hAnsi="楷体" w:eastAsia="楷体" w:cs="楷体"/>
                <w:szCs w:val="21"/>
              </w:rPr>
            </w:pPr>
            <w:r>
              <w:rPr>
                <w:rFonts w:hint="eastAsia" w:ascii="楷体" w:hAnsi="楷体" w:eastAsia="楷体" w:cs="宋体"/>
                <w:kern w:val="0"/>
                <w:szCs w:val="21"/>
              </w:rPr>
              <w:t>合计</w:t>
            </w:r>
          </w:p>
        </w:tc>
        <w:tc>
          <w:tcPr>
            <w:tcW w:w="540"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240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1</w:t>
            </w:r>
            <w:r>
              <w:rPr>
                <w:rFonts w:ascii="楷体" w:hAnsi="楷体" w:eastAsia="楷体" w:cs="宋体"/>
                <w:kern w:val="0"/>
                <w:szCs w:val="21"/>
              </w:rPr>
              <w:t>84</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w:t>
            </w:r>
            <w:r>
              <w:rPr>
                <w:rFonts w:ascii="楷体" w:hAnsi="楷体" w:eastAsia="楷体" w:cs="宋体"/>
                <w:kern w:val="0"/>
                <w:szCs w:val="21"/>
              </w:rPr>
              <w:t>0</w:t>
            </w:r>
          </w:p>
        </w:tc>
        <w:tc>
          <w:tcPr>
            <w:tcW w:w="623" w:type="dxa"/>
            <w:vAlign w:val="center"/>
          </w:tcPr>
          <w:p>
            <w:pPr>
              <w:widowControl/>
              <w:jc w:val="center"/>
              <w:rPr>
                <w:rFonts w:ascii="楷体" w:hAnsi="楷体" w:eastAsia="楷体" w:cs="宋体"/>
                <w:kern w:val="0"/>
                <w:szCs w:val="21"/>
              </w:rPr>
            </w:pPr>
            <w:r>
              <w:rPr>
                <w:rFonts w:hint="eastAsia" w:ascii="楷体" w:hAnsi="楷体" w:eastAsia="楷体" w:cs="宋体"/>
                <w:kern w:val="0"/>
                <w:szCs w:val="21"/>
              </w:rPr>
              <w:t>30</w:t>
            </w:r>
          </w:p>
        </w:tc>
      </w:tr>
    </w:tbl>
    <w:p>
      <w:pPr>
        <w:pStyle w:val="19"/>
        <w:adjustRightInd w:val="0"/>
        <w:snapToGrid w:val="0"/>
        <w:spacing w:before="0" w:beforeAutospacing="0" w:after="0" w:afterAutospacing="0" w:line="420" w:lineRule="exact"/>
        <w:ind w:firstLine="520" w:firstLineChars="200"/>
        <w:jc w:val="both"/>
        <w:rPr>
          <w:rFonts w:ascii="黑体" w:hAnsi="黑体" w:eastAsia="黑体"/>
          <w:sz w:val="26"/>
          <w:szCs w:val="26"/>
        </w:rPr>
      </w:pPr>
    </w:p>
    <w:p>
      <w:pPr>
        <w:pStyle w:val="19"/>
        <w:adjustRightInd w:val="0"/>
        <w:snapToGrid w:val="0"/>
        <w:spacing w:before="0" w:beforeAutospacing="0" w:after="0" w:afterAutospacing="0" w:line="420" w:lineRule="exact"/>
        <w:ind w:firstLine="520" w:firstLineChars="200"/>
        <w:jc w:val="both"/>
        <w:outlineLvl w:val="0"/>
        <w:rPr>
          <w:rFonts w:ascii="黑体" w:hAnsi="黑体" w:eastAsia="黑体"/>
          <w:sz w:val="26"/>
          <w:szCs w:val="26"/>
        </w:rPr>
      </w:pPr>
      <w:bookmarkStart w:id="93" w:name="_Toc2145364483"/>
      <w:bookmarkStart w:id="94" w:name="_Toc298147073"/>
      <w:bookmarkStart w:id="95" w:name="_Toc861688292"/>
      <w:bookmarkStart w:id="96" w:name="_Toc626768925"/>
      <w:bookmarkStart w:id="97" w:name="_Toc1566021327"/>
      <w:r>
        <w:rPr>
          <w:rFonts w:hint="eastAsia" w:ascii="黑体" w:hAnsi="黑体" w:eastAsia="黑体"/>
          <w:sz w:val="26"/>
          <w:szCs w:val="26"/>
        </w:rPr>
        <w:t>九、实施保障</w:t>
      </w:r>
      <w:bookmarkEnd w:id="93"/>
      <w:bookmarkEnd w:id="94"/>
      <w:bookmarkEnd w:id="95"/>
      <w:bookmarkEnd w:id="96"/>
      <w:bookmarkEnd w:id="97"/>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98" w:name="_Toc1294038819"/>
      <w:bookmarkStart w:id="99" w:name="_Toc1976809983"/>
      <w:bookmarkStart w:id="100" w:name="_Toc633998790"/>
      <w:r>
        <w:rPr>
          <w:rFonts w:hint="eastAsia" w:ascii="楷体" w:hAnsi="楷体" w:eastAsia="楷体"/>
          <w:bCs/>
          <w:kern w:val="0"/>
          <w:sz w:val="26"/>
          <w:szCs w:val="26"/>
        </w:rPr>
        <w:t>（一）师资队伍</w:t>
      </w:r>
      <w:bookmarkEnd w:id="98"/>
      <w:bookmarkEnd w:id="99"/>
      <w:bookmarkEnd w:id="100"/>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本专业坚持培养和引进相结合的原则，逐步优化师资结构，建设职称结构和年龄结构合理、专</w:t>
      </w:r>
      <w:r>
        <w:rPr>
          <w:rFonts w:hint="eastAsia" w:ascii="仿宋" w:hAnsi="仿宋" w:eastAsia="仿宋"/>
          <w:kern w:val="0"/>
          <w:sz w:val="26"/>
          <w:szCs w:val="26"/>
          <w:lang w:eastAsia="zh-CN"/>
        </w:rPr>
        <w:t>兼职</w:t>
      </w:r>
      <w:r>
        <w:rPr>
          <w:rFonts w:hint="eastAsia" w:ascii="仿宋" w:hAnsi="仿宋" w:eastAsia="仿宋"/>
          <w:kern w:val="0"/>
          <w:sz w:val="26"/>
          <w:szCs w:val="26"/>
        </w:rPr>
        <w:t>教师结合、结构优化和素质优良的“双师型”师资队伍。现有专任专业教师29人，在职称构成方面，具有高级讲师专业技术职称的教师8人，具有讲师专业技术职称的教师8人。在学历层次方面，具有研究生学历的教师2人，具有本科学历的教师27人，本科及以上学历教师占比100%。在29名教师中，双师型教师24人，占总数82.75%。专业负责人具有本科学历和中级职称，具有相关专业高级工职业资格证书，从事本专业教学10年以上，业务水平高。教师队伍在年龄分布上比较合理，完成了良好的教学梯队建设。</w:t>
      </w:r>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加强与汽车维修企业合作，聘请具有丰富实践经验的维修技术人员参与教学管理，建成了一支稳定的市内一流、省内知名度较高的兼职专业教师队伍。现有兼职教师8人，均具有高级及以上职业资格或中级以上专业技术职称，能够参与学校授课、讲座等教学活动。</w:t>
      </w:r>
    </w:p>
    <w:p>
      <w:pPr>
        <w:pStyle w:val="17"/>
        <w:adjustRightInd w:val="0"/>
        <w:snapToGrid w:val="0"/>
        <w:spacing w:after="0" w:line="420" w:lineRule="exact"/>
        <w:ind w:left="0" w:leftChars="0" w:firstLine="520" w:firstLineChars="200"/>
        <w:outlineLvl w:val="1"/>
        <w:rPr>
          <w:rFonts w:ascii="楷体" w:hAnsi="楷体" w:eastAsia="楷体"/>
          <w:bCs/>
          <w:kern w:val="0"/>
          <w:sz w:val="26"/>
          <w:szCs w:val="26"/>
        </w:rPr>
      </w:pPr>
      <w:bookmarkStart w:id="101" w:name="_Toc962058727"/>
      <w:bookmarkStart w:id="102" w:name="_Toc136273949"/>
      <w:bookmarkStart w:id="103" w:name="_Toc1829707308"/>
      <w:r>
        <w:rPr>
          <w:rFonts w:hint="eastAsia" w:ascii="楷体" w:hAnsi="楷体" w:eastAsia="楷体"/>
          <w:bCs/>
          <w:kern w:val="0"/>
          <w:sz w:val="26"/>
          <w:szCs w:val="26"/>
        </w:rPr>
        <w:t>（二）教学设施</w:t>
      </w:r>
      <w:bookmarkEnd w:id="101"/>
      <w:bookmarkEnd w:id="102"/>
      <w:bookmarkEnd w:id="103"/>
    </w:p>
    <w:p>
      <w:pPr>
        <w:pStyle w:val="17"/>
        <w:adjustRightInd w:val="0"/>
        <w:snapToGrid w:val="0"/>
        <w:spacing w:after="0" w:line="420" w:lineRule="exact"/>
        <w:ind w:left="0" w:leftChars="0" w:firstLine="520" w:firstLineChars="200"/>
        <w:outlineLvl w:val="2"/>
        <w:rPr>
          <w:rFonts w:ascii="仿宋" w:hAnsi="仿宋" w:eastAsia="仿宋"/>
          <w:kern w:val="0"/>
          <w:sz w:val="26"/>
          <w:szCs w:val="26"/>
        </w:rPr>
      </w:pPr>
      <w:bookmarkStart w:id="104" w:name="_Toc1592364909"/>
      <w:r>
        <w:rPr>
          <w:rFonts w:hint="eastAsia" w:ascii="仿宋" w:hAnsi="仿宋" w:eastAsia="仿宋"/>
          <w:kern w:val="0"/>
          <w:sz w:val="26"/>
          <w:szCs w:val="26"/>
        </w:rPr>
        <w:t>1</w:t>
      </w:r>
      <w:r>
        <w:rPr>
          <w:rFonts w:ascii="仿宋" w:hAnsi="仿宋" w:eastAsia="仿宋"/>
          <w:kern w:val="0"/>
          <w:sz w:val="26"/>
          <w:szCs w:val="26"/>
        </w:rPr>
        <w:t>.</w:t>
      </w:r>
      <w:r>
        <w:rPr>
          <w:rFonts w:hint="eastAsia" w:ascii="仿宋" w:hAnsi="仿宋" w:eastAsia="仿宋"/>
          <w:kern w:val="0"/>
          <w:sz w:val="26"/>
          <w:szCs w:val="26"/>
        </w:rPr>
        <w:t>校内实训室</w:t>
      </w:r>
      <w:bookmarkEnd w:id="104"/>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本专业应具备的校内实训室与主要工具和设施设备的名称及数量见下表。</w:t>
      </w:r>
    </w:p>
    <w:tbl>
      <w:tblPr>
        <w:tblStyle w:val="22"/>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531"/>
        <w:gridCol w:w="992"/>
        <w:gridCol w:w="425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序号</w:t>
            </w:r>
          </w:p>
        </w:tc>
        <w:tc>
          <w:tcPr>
            <w:tcW w:w="1531" w:type="dxa"/>
            <w:vMerge w:val="restart"/>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实训室名称</w:t>
            </w:r>
          </w:p>
        </w:tc>
        <w:tc>
          <w:tcPr>
            <w:tcW w:w="992" w:type="dxa"/>
            <w:vMerge w:val="restart"/>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面积</w:t>
            </w:r>
          </w:p>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w:t>
            </w:r>
          </w:p>
        </w:tc>
        <w:tc>
          <w:tcPr>
            <w:tcW w:w="5586" w:type="dxa"/>
            <w:gridSpan w:val="2"/>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b/>
                <w:kern w:val="0"/>
                <w:sz w:val="21"/>
                <w:szCs w:val="21"/>
              </w:rPr>
            </w:pPr>
          </w:p>
        </w:tc>
        <w:tc>
          <w:tcPr>
            <w:tcW w:w="1531" w:type="dxa"/>
            <w:vMerge w:val="continue"/>
            <w:vAlign w:val="center"/>
          </w:tcPr>
          <w:p>
            <w:pPr>
              <w:pStyle w:val="17"/>
              <w:spacing w:after="0"/>
              <w:ind w:left="0" w:leftChars="0"/>
              <w:jc w:val="center"/>
              <w:rPr>
                <w:rFonts w:ascii="楷体" w:hAnsi="楷体" w:eastAsia="楷体" w:cs="楷体"/>
                <w:b/>
                <w:kern w:val="0"/>
                <w:sz w:val="21"/>
                <w:szCs w:val="21"/>
              </w:rPr>
            </w:pPr>
          </w:p>
        </w:tc>
        <w:tc>
          <w:tcPr>
            <w:tcW w:w="992" w:type="dxa"/>
            <w:vMerge w:val="continue"/>
          </w:tcPr>
          <w:p>
            <w:pPr>
              <w:pStyle w:val="17"/>
              <w:spacing w:after="0"/>
              <w:ind w:left="0" w:leftChars="0"/>
              <w:jc w:val="center"/>
              <w:rPr>
                <w:rFonts w:ascii="楷体" w:hAnsi="楷体" w:eastAsia="楷体" w:cs="楷体"/>
                <w:b/>
                <w:kern w:val="0"/>
                <w:sz w:val="21"/>
                <w:szCs w:val="21"/>
              </w:rPr>
            </w:pPr>
          </w:p>
        </w:tc>
        <w:tc>
          <w:tcPr>
            <w:tcW w:w="4252" w:type="dxa"/>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名称</w:t>
            </w:r>
          </w:p>
        </w:tc>
        <w:tc>
          <w:tcPr>
            <w:tcW w:w="1334" w:type="dxa"/>
            <w:vAlign w:val="center"/>
          </w:tcPr>
          <w:p>
            <w:pPr>
              <w:pStyle w:val="17"/>
              <w:spacing w:after="0"/>
              <w:ind w:left="0" w:leftChars="0"/>
              <w:jc w:val="center"/>
              <w:rPr>
                <w:rFonts w:ascii="楷体" w:hAnsi="楷体" w:eastAsia="楷体" w:cs="楷体"/>
                <w:b/>
                <w:kern w:val="0"/>
                <w:sz w:val="21"/>
                <w:szCs w:val="21"/>
              </w:rPr>
            </w:pPr>
            <w:r>
              <w:rPr>
                <w:rFonts w:hint="eastAsia" w:ascii="楷体" w:hAnsi="楷体" w:eastAsia="楷体" w:cs="楷体"/>
                <w:b/>
                <w:kern w:val="0"/>
                <w:sz w:val="21"/>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202发动机实训室1</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零件清洗机</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常用工具228件套</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雪佛兰发动机</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2</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204发动机实训室2</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发动机实训台</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常用工具228件套</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c>
          <w:tcPr>
            <w:tcW w:w="1531" w:type="dxa"/>
            <w:vMerge w:val="restart"/>
            <w:vAlign w:val="center"/>
          </w:tcPr>
          <w:p>
            <w:pPr>
              <w:pStyle w:val="17"/>
              <w:spacing w:after="0"/>
              <w:ind w:left="0" w:leftChars="0"/>
              <w:jc w:val="left"/>
              <w:rPr>
                <w:rFonts w:hint="default" w:ascii="楷体" w:hAnsi="楷体" w:eastAsia="楷体" w:cs="楷体"/>
                <w:kern w:val="0"/>
                <w:sz w:val="21"/>
                <w:szCs w:val="21"/>
              </w:rPr>
            </w:pPr>
            <w:r>
              <w:rPr>
                <w:rFonts w:hint="eastAsia" w:ascii="楷体" w:hAnsi="楷体" w:eastAsia="楷体" w:cs="楷体"/>
                <w:kern w:val="0"/>
                <w:sz w:val="21"/>
                <w:szCs w:val="21"/>
              </w:rPr>
              <w:t>206汽车电工电子</w:t>
            </w:r>
            <w:r>
              <w:rPr>
                <w:rFonts w:hint="default" w:ascii="楷体" w:hAnsi="楷体" w:eastAsia="楷体" w:cs="楷体"/>
                <w:kern w:val="0"/>
                <w:sz w:val="21"/>
                <w:szCs w:val="21"/>
              </w:rPr>
              <w:t>实训室</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汽车基础电器系统连接台架</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电动座椅实训台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驾驶模拟器</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汽车基础电器零部件</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冷却仪交换机</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空调清洗机</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汽车基础电器系统展示台架</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4</w:t>
            </w:r>
          </w:p>
        </w:tc>
        <w:tc>
          <w:tcPr>
            <w:tcW w:w="1531" w:type="dxa"/>
            <w:vMerge w:val="restart"/>
            <w:vAlign w:val="center"/>
          </w:tcPr>
          <w:p>
            <w:pPr>
              <w:pStyle w:val="17"/>
              <w:spacing w:after="0"/>
              <w:ind w:left="0" w:leftChars="0"/>
              <w:jc w:val="left"/>
              <w:rPr>
                <w:rFonts w:hint="default" w:ascii="楷体" w:hAnsi="楷体" w:eastAsia="楷体" w:cs="楷体"/>
                <w:kern w:val="0"/>
                <w:sz w:val="21"/>
                <w:szCs w:val="21"/>
              </w:rPr>
            </w:pPr>
            <w:r>
              <w:rPr>
                <w:rFonts w:hint="eastAsia" w:ascii="楷体" w:hAnsi="楷体" w:eastAsia="楷体" w:cs="楷体"/>
                <w:kern w:val="0"/>
                <w:sz w:val="21"/>
                <w:szCs w:val="21"/>
              </w:rPr>
              <w:t>208汽车电气</w:t>
            </w:r>
            <w:r>
              <w:rPr>
                <w:rFonts w:hint="default" w:ascii="楷体" w:hAnsi="楷体" w:eastAsia="楷体" w:cs="楷体"/>
                <w:kern w:val="0"/>
                <w:sz w:val="21"/>
                <w:szCs w:val="21"/>
              </w:rPr>
              <w:t>实训室</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帕萨特汽车充电起动系统示教板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帕萨特汽车电控电器系统故障仿真实验台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桑塔纳仿真电路实验台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帕萨特仿真电器电路实验台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汽车点火系统示教板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B5巡航系统示教板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数据传输网络系统示教板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CAN数据传输网络系统示教板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全车电器示教板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汽车车载影音系统示教板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电控系统示教面板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5</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305地盘实训室</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本田电控动力转向实验台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桑塔纳防抱死制动系统实验台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丰田轿车驱动桥及车轮总成实训台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6</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402底盘电控实训室</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汽车传感器与执行器综合试验台</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B5安全气囊系统示教板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汽车防盗器与报警器示教板</w:t>
            </w:r>
          </w:p>
        </w:tc>
        <w:tc>
          <w:tcPr>
            <w:tcW w:w="1334" w:type="dxa"/>
            <w:shd w:val="clear" w:color="FFFFFF" w:fill="FFFFFF"/>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7</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404发动机实训室3</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丰田发动机及翻转运行架</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丰田发动机及翻转架</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发动机拆装工作台</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8</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406发动机实训室4</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120</w:t>
            </w: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帕萨特电控汽油喷射系统示教板</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大众发动机示教面板</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vAlign w:val="center"/>
          </w:tcPr>
          <w:p>
            <w:pPr>
              <w:pStyle w:val="17"/>
              <w:spacing w:after="0"/>
              <w:ind w:left="0" w:leftChars="0"/>
              <w:jc w:val="center"/>
              <w:rPr>
                <w:rFonts w:ascii="楷体" w:hAnsi="楷体" w:eastAsia="楷体" w:cs="楷体"/>
                <w:kern w:val="0"/>
                <w:sz w:val="21"/>
                <w:szCs w:val="21"/>
              </w:rPr>
            </w:pPr>
          </w:p>
        </w:tc>
        <w:tc>
          <w:tcPr>
            <w:tcW w:w="1531" w:type="dxa"/>
            <w:vMerge w:val="continue"/>
            <w:vAlign w:val="center"/>
          </w:tcPr>
          <w:p>
            <w:pPr>
              <w:pStyle w:val="17"/>
              <w:spacing w:after="0"/>
              <w:ind w:left="0" w:leftChars="0"/>
              <w:jc w:val="left"/>
              <w:rPr>
                <w:rFonts w:ascii="楷体" w:hAnsi="楷体" w:eastAsia="楷体" w:cs="楷体"/>
                <w:kern w:val="0"/>
                <w:sz w:val="21"/>
                <w:szCs w:val="21"/>
              </w:rPr>
            </w:pPr>
          </w:p>
        </w:tc>
        <w:tc>
          <w:tcPr>
            <w:tcW w:w="992" w:type="dxa"/>
            <w:vMerge w:val="continue"/>
            <w:vAlign w:val="center"/>
          </w:tcPr>
          <w:p>
            <w:pPr>
              <w:pStyle w:val="17"/>
              <w:spacing w:after="0"/>
              <w:ind w:left="0" w:leftChars="0"/>
              <w:jc w:val="center"/>
              <w:rPr>
                <w:rFonts w:ascii="楷体" w:hAnsi="楷体" w:eastAsia="楷体" w:cs="楷体"/>
                <w:kern w:val="0"/>
                <w:sz w:val="21"/>
                <w:szCs w:val="21"/>
              </w:rPr>
            </w:pP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科鲁兹发动机示教面板</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9</w:t>
            </w:r>
          </w:p>
        </w:tc>
        <w:tc>
          <w:tcPr>
            <w:tcW w:w="1531" w:type="dxa"/>
            <w:vMerge w:val="restart"/>
            <w:vAlign w:val="center"/>
          </w:tcPr>
          <w:p>
            <w:pPr>
              <w:pStyle w:val="17"/>
              <w:spacing w:after="0"/>
              <w:ind w:left="0" w:leftChars="0"/>
              <w:jc w:val="left"/>
              <w:rPr>
                <w:rFonts w:ascii="楷体" w:hAnsi="楷体" w:eastAsia="楷体" w:cs="楷体"/>
                <w:kern w:val="0"/>
                <w:sz w:val="21"/>
                <w:szCs w:val="21"/>
              </w:rPr>
            </w:pPr>
            <w:r>
              <w:rPr>
                <w:rFonts w:hint="eastAsia" w:ascii="楷体" w:hAnsi="楷体" w:eastAsia="楷体" w:cs="楷体"/>
                <w:kern w:val="0"/>
                <w:sz w:val="21"/>
                <w:szCs w:val="21"/>
              </w:rPr>
              <w:t>一楼实训车间</w:t>
            </w:r>
          </w:p>
        </w:tc>
        <w:tc>
          <w:tcPr>
            <w:tcW w:w="992" w:type="dxa"/>
            <w:vMerge w:val="restart"/>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1210</w:t>
            </w:r>
          </w:p>
        </w:tc>
        <w:tc>
          <w:tcPr>
            <w:tcW w:w="4252" w:type="dxa"/>
            <w:shd w:val="clear" w:color="auto" w:fill="auto"/>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实训用整车</w:t>
            </w:r>
          </w:p>
        </w:tc>
        <w:tc>
          <w:tcPr>
            <w:tcW w:w="1334" w:type="dxa"/>
            <w:shd w:val="clear" w:color="auto" w:fill="auto"/>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四轮定位仪</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扒胎机</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车身校正仪</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轮胎动平衡机</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举升机</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1" w:type="dxa"/>
            <w:vMerge w:val="continue"/>
          </w:tcPr>
          <w:p>
            <w:pPr>
              <w:pStyle w:val="17"/>
              <w:spacing w:after="0"/>
              <w:ind w:left="0" w:leftChars="0"/>
              <w:rPr>
                <w:rFonts w:ascii="楷体" w:hAnsi="楷体" w:eastAsia="楷体" w:cs="楷体"/>
                <w:kern w:val="0"/>
                <w:sz w:val="21"/>
                <w:szCs w:val="21"/>
              </w:rPr>
            </w:pPr>
          </w:p>
        </w:tc>
        <w:tc>
          <w:tcPr>
            <w:tcW w:w="1531" w:type="dxa"/>
            <w:vMerge w:val="continue"/>
          </w:tcPr>
          <w:p>
            <w:pPr>
              <w:pStyle w:val="17"/>
              <w:spacing w:after="0"/>
              <w:ind w:left="0" w:leftChars="0"/>
              <w:rPr>
                <w:rFonts w:ascii="楷体" w:hAnsi="楷体" w:eastAsia="楷体" w:cs="楷体"/>
                <w:kern w:val="0"/>
                <w:sz w:val="21"/>
                <w:szCs w:val="21"/>
              </w:rPr>
            </w:pPr>
          </w:p>
        </w:tc>
        <w:tc>
          <w:tcPr>
            <w:tcW w:w="992" w:type="dxa"/>
            <w:vMerge w:val="continue"/>
          </w:tcPr>
          <w:p>
            <w:pPr>
              <w:pStyle w:val="17"/>
              <w:spacing w:after="0"/>
              <w:ind w:left="0" w:leftChars="0"/>
              <w:rPr>
                <w:rFonts w:ascii="楷体" w:hAnsi="楷体" w:eastAsia="楷体" w:cs="楷体"/>
                <w:kern w:val="0"/>
                <w:sz w:val="21"/>
                <w:szCs w:val="21"/>
              </w:rPr>
            </w:pPr>
          </w:p>
        </w:tc>
        <w:tc>
          <w:tcPr>
            <w:tcW w:w="4252" w:type="dxa"/>
            <w:shd w:val="clear" w:color="FFFFFF" w:fill="FFFFFF"/>
            <w:vAlign w:val="center"/>
          </w:tcPr>
          <w:p>
            <w:pPr>
              <w:pStyle w:val="17"/>
              <w:spacing w:after="0"/>
              <w:ind w:left="0" w:leftChars="0"/>
              <w:rPr>
                <w:rFonts w:ascii="楷体" w:hAnsi="楷体" w:eastAsia="楷体" w:cs="楷体"/>
                <w:kern w:val="0"/>
                <w:sz w:val="21"/>
                <w:szCs w:val="21"/>
              </w:rPr>
            </w:pPr>
            <w:r>
              <w:rPr>
                <w:rFonts w:hint="eastAsia" w:ascii="楷体" w:hAnsi="楷体" w:eastAsia="楷体" w:cs="楷体"/>
                <w:kern w:val="0"/>
                <w:sz w:val="21"/>
                <w:szCs w:val="21"/>
              </w:rPr>
              <w:t>教学烤漆房</w:t>
            </w:r>
          </w:p>
        </w:tc>
        <w:tc>
          <w:tcPr>
            <w:tcW w:w="1334" w:type="dxa"/>
            <w:vAlign w:val="center"/>
          </w:tcPr>
          <w:p>
            <w:pPr>
              <w:pStyle w:val="17"/>
              <w:spacing w:after="0"/>
              <w:ind w:left="0" w:leftChars="0"/>
              <w:jc w:val="center"/>
              <w:rPr>
                <w:rFonts w:ascii="楷体" w:hAnsi="楷体" w:eastAsia="楷体" w:cs="楷体"/>
                <w:kern w:val="0"/>
                <w:sz w:val="21"/>
                <w:szCs w:val="21"/>
              </w:rPr>
            </w:pPr>
            <w:r>
              <w:rPr>
                <w:rFonts w:hint="eastAsia" w:ascii="楷体" w:hAnsi="楷体" w:eastAsia="楷体" w:cs="楷体"/>
                <w:kern w:val="0"/>
                <w:sz w:val="21"/>
                <w:szCs w:val="21"/>
              </w:rPr>
              <w:t>2</w:t>
            </w:r>
          </w:p>
        </w:tc>
      </w:tr>
    </w:tbl>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说明：主要工具和设施设备的数量按照标准班4</w:t>
      </w:r>
      <w:r>
        <w:rPr>
          <w:rFonts w:ascii="仿宋" w:hAnsi="仿宋" w:eastAsia="仿宋"/>
          <w:kern w:val="0"/>
          <w:sz w:val="26"/>
          <w:szCs w:val="26"/>
        </w:rPr>
        <w:t>5</w:t>
      </w:r>
      <w:r>
        <w:rPr>
          <w:rFonts w:hint="eastAsia" w:ascii="仿宋" w:hAnsi="仿宋" w:eastAsia="仿宋"/>
          <w:kern w:val="0"/>
          <w:sz w:val="26"/>
          <w:szCs w:val="26"/>
        </w:rPr>
        <w:t>人/班配置。</w:t>
      </w:r>
    </w:p>
    <w:p>
      <w:pPr>
        <w:pStyle w:val="17"/>
        <w:adjustRightInd w:val="0"/>
        <w:snapToGrid w:val="0"/>
        <w:spacing w:after="0" w:line="440" w:lineRule="exact"/>
        <w:ind w:left="0" w:leftChars="0" w:firstLine="520" w:firstLineChars="200"/>
        <w:outlineLvl w:val="2"/>
        <w:rPr>
          <w:rFonts w:ascii="仿宋" w:hAnsi="仿宋" w:eastAsia="仿宋"/>
          <w:bCs/>
          <w:kern w:val="0"/>
          <w:sz w:val="26"/>
          <w:szCs w:val="26"/>
        </w:rPr>
      </w:pPr>
      <w:bookmarkStart w:id="105" w:name="_Toc642738065"/>
      <w:r>
        <w:rPr>
          <w:rFonts w:hint="eastAsia" w:ascii="仿宋" w:hAnsi="仿宋" w:eastAsia="仿宋"/>
          <w:bCs/>
          <w:kern w:val="0"/>
          <w:sz w:val="26"/>
          <w:szCs w:val="26"/>
        </w:rPr>
        <w:t>2</w:t>
      </w:r>
      <w:r>
        <w:rPr>
          <w:rFonts w:ascii="仿宋" w:hAnsi="仿宋" w:eastAsia="仿宋"/>
          <w:bCs/>
          <w:kern w:val="0"/>
          <w:sz w:val="26"/>
          <w:szCs w:val="26"/>
        </w:rPr>
        <w:t>.</w:t>
      </w:r>
      <w:r>
        <w:rPr>
          <w:rFonts w:hint="eastAsia" w:ascii="仿宋" w:hAnsi="仿宋" w:eastAsia="仿宋"/>
          <w:bCs/>
          <w:kern w:val="0"/>
          <w:sz w:val="26"/>
          <w:szCs w:val="26"/>
        </w:rPr>
        <w:t>校外实训基地</w:t>
      </w:r>
      <w:bookmarkEnd w:id="105"/>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根据专业人才培养的需要和专业的特点，应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根据培养目标要求和实践教学内容，校企合作共同制订实习计划和课程标准，按进程精心编排教学设计并组织、管理教学过程。</w:t>
      </w:r>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山东多功能汽车为学校提供学生实习岗位及就业岗位，并为教师实践提供支持。比德文电动科技（雷丁电动汽车）为学校提供学生实习及就业岗位。苏州汇川技术企业、通用五菱青岛分公司为学校提供学生实习岗位及就业岗位，并为教师实践提供支持。</w:t>
      </w:r>
    </w:p>
    <w:p>
      <w:pPr>
        <w:pStyle w:val="17"/>
        <w:adjustRightInd w:val="0"/>
        <w:snapToGrid w:val="0"/>
        <w:spacing w:after="0" w:line="440" w:lineRule="exact"/>
        <w:ind w:left="0" w:leftChars="0" w:firstLine="520" w:firstLineChars="200"/>
        <w:outlineLvl w:val="2"/>
        <w:rPr>
          <w:rFonts w:ascii="仿宋" w:hAnsi="仿宋" w:eastAsia="仿宋"/>
          <w:bCs/>
          <w:kern w:val="0"/>
          <w:sz w:val="26"/>
          <w:szCs w:val="26"/>
        </w:rPr>
      </w:pPr>
      <w:bookmarkStart w:id="106" w:name="_Toc1865870939"/>
      <w:r>
        <w:rPr>
          <w:rFonts w:hint="eastAsia" w:ascii="仿宋" w:hAnsi="仿宋" w:eastAsia="仿宋"/>
          <w:bCs/>
          <w:kern w:val="0"/>
          <w:sz w:val="26"/>
          <w:szCs w:val="26"/>
        </w:rPr>
        <w:t>3</w:t>
      </w:r>
      <w:r>
        <w:rPr>
          <w:rFonts w:ascii="仿宋" w:hAnsi="仿宋" w:eastAsia="仿宋"/>
          <w:bCs/>
          <w:kern w:val="0"/>
          <w:sz w:val="26"/>
          <w:szCs w:val="26"/>
        </w:rPr>
        <w:t>.</w:t>
      </w:r>
      <w:r>
        <w:rPr>
          <w:rFonts w:hint="eastAsia" w:ascii="仿宋" w:hAnsi="仿宋" w:eastAsia="仿宋"/>
          <w:bCs/>
          <w:kern w:val="0"/>
          <w:sz w:val="26"/>
          <w:szCs w:val="26"/>
        </w:rPr>
        <w:t>信息化教学条件</w:t>
      </w:r>
      <w:bookmarkEnd w:id="106"/>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所有教室、实训室均配有多媒体投影设备，并配套相应的教学管理软件和学习资源，满足教学需要。</w:t>
      </w:r>
    </w:p>
    <w:p>
      <w:pPr>
        <w:pStyle w:val="17"/>
        <w:adjustRightInd w:val="0"/>
        <w:snapToGrid w:val="0"/>
        <w:spacing w:after="0" w:line="440" w:lineRule="exact"/>
        <w:ind w:left="0" w:leftChars="0" w:firstLine="520" w:firstLineChars="200"/>
        <w:outlineLvl w:val="1"/>
        <w:rPr>
          <w:rFonts w:ascii="楷体" w:hAnsi="楷体" w:eastAsia="楷体"/>
          <w:bCs/>
          <w:kern w:val="0"/>
          <w:sz w:val="26"/>
          <w:szCs w:val="26"/>
        </w:rPr>
      </w:pPr>
      <w:bookmarkStart w:id="107" w:name="_Toc1484973913"/>
      <w:bookmarkStart w:id="108" w:name="_Toc208132207"/>
      <w:bookmarkStart w:id="109" w:name="_Toc932145863"/>
      <w:r>
        <w:rPr>
          <w:rFonts w:hint="eastAsia" w:ascii="楷体" w:hAnsi="楷体" w:eastAsia="楷体"/>
          <w:bCs/>
          <w:kern w:val="0"/>
          <w:sz w:val="26"/>
          <w:szCs w:val="26"/>
        </w:rPr>
        <w:t>（三）教学资源</w:t>
      </w:r>
      <w:bookmarkEnd w:id="107"/>
      <w:bookmarkEnd w:id="108"/>
      <w:bookmarkEnd w:id="109"/>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教材充分考虑中职学生的年龄特点和认知能力，文字表达通俗简练，采用图文并茂的形式，便于学生学习和掌握；教材内容依据企业和行业的发展实际，体现汽车运用与维修行业对从业人员综合素质的需求，反映汽车运用与维修专业的现状和发展趋势，充分体现新技术、新工艺、新方法，更贴近汽车运用与维修专业未来发展的需要；教材设计以工作项目教学形式为主线，结合1+X证书制度的相关要求，教材内容以职业能力为依据组织；教材充分发挥现代化信息技术的优势，附带多媒体课件及数字教学资源，创设生动的学习环境，激发学生的学习兴趣，帮助学生对知识的理解和掌握，提高课堂教学的效果。</w:t>
      </w:r>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根据教学需要，结合教材内容建立起配套的电子教案、项目任务书、课件、试题库、微课，以及虚拟现实软件和网络课程。</w:t>
      </w:r>
    </w:p>
    <w:p>
      <w:pPr>
        <w:pStyle w:val="17"/>
        <w:adjustRightInd w:val="0"/>
        <w:snapToGrid w:val="0"/>
        <w:spacing w:after="0" w:line="440" w:lineRule="exact"/>
        <w:ind w:left="0" w:leftChars="0" w:firstLine="520" w:firstLineChars="200"/>
        <w:outlineLvl w:val="1"/>
        <w:rPr>
          <w:rFonts w:ascii="楷体" w:hAnsi="楷体" w:eastAsia="楷体"/>
          <w:bCs/>
          <w:kern w:val="0"/>
          <w:sz w:val="26"/>
          <w:szCs w:val="26"/>
        </w:rPr>
      </w:pPr>
      <w:bookmarkStart w:id="110" w:name="_Toc157448996"/>
      <w:bookmarkStart w:id="111" w:name="_Toc1048190276"/>
      <w:bookmarkStart w:id="112" w:name="_Toc2113083932"/>
      <w:r>
        <w:rPr>
          <w:rFonts w:hint="eastAsia" w:ascii="楷体" w:hAnsi="楷体" w:eastAsia="楷体"/>
          <w:bCs/>
          <w:kern w:val="0"/>
          <w:sz w:val="26"/>
          <w:szCs w:val="26"/>
        </w:rPr>
        <w:t>（四）教学模式</w:t>
      </w:r>
      <w:r>
        <w:rPr>
          <w:rFonts w:ascii="楷体" w:hAnsi="楷体" w:eastAsia="楷体"/>
          <w:bCs/>
          <w:kern w:val="0"/>
          <w:sz w:val="26"/>
          <w:szCs w:val="26"/>
        </w:rPr>
        <w:t>与</w:t>
      </w:r>
      <w:r>
        <w:rPr>
          <w:rFonts w:hint="eastAsia" w:ascii="楷体" w:hAnsi="楷体" w:eastAsia="楷体"/>
          <w:bCs/>
          <w:kern w:val="0"/>
          <w:sz w:val="26"/>
          <w:szCs w:val="26"/>
        </w:rPr>
        <w:t>方法</w:t>
      </w:r>
      <w:bookmarkEnd w:id="110"/>
      <w:bookmarkEnd w:id="111"/>
      <w:bookmarkEnd w:id="112"/>
    </w:p>
    <w:p>
      <w:pPr>
        <w:pStyle w:val="17"/>
        <w:adjustRightInd w:val="0"/>
        <w:snapToGrid w:val="0"/>
        <w:spacing w:after="0" w:line="440" w:lineRule="exact"/>
        <w:ind w:left="0" w:leftChars="0" w:firstLine="520" w:firstLineChars="200"/>
        <w:rPr>
          <w:rFonts w:ascii="仿宋" w:hAnsi="仿宋" w:eastAsia="仿宋"/>
          <w:bCs/>
          <w:kern w:val="0"/>
          <w:sz w:val="26"/>
          <w:szCs w:val="26"/>
        </w:rPr>
      </w:pPr>
      <w:r>
        <w:rPr>
          <w:rFonts w:hint="eastAsia" w:ascii="仿宋" w:hAnsi="仿宋" w:eastAsia="仿宋"/>
          <w:bCs/>
          <w:kern w:val="0"/>
          <w:sz w:val="26"/>
          <w:szCs w:val="26"/>
        </w:rPr>
        <w:t>无论公共基础课、专业技能课，都要密切结合</w:t>
      </w:r>
      <w:r>
        <w:rPr>
          <w:rFonts w:hint="eastAsia" w:ascii="仿宋" w:hAnsi="仿宋" w:eastAsia="仿宋"/>
          <w:sz w:val="26"/>
          <w:szCs w:val="26"/>
        </w:rPr>
        <w:t>“一个中心、二轮交替、三级能力、四方协同、五维路径”人才培养模式</w:t>
      </w:r>
      <w:r>
        <w:rPr>
          <w:rFonts w:hint="eastAsia" w:ascii="仿宋" w:hAnsi="仿宋" w:eastAsia="仿宋"/>
          <w:bCs/>
          <w:kern w:val="0"/>
          <w:sz w:val="26"/>
          <w:szCs w:val="26"/>
        </w:rPr>
        <w:t>进行，其中：</w:t>
      </w:r>
    </w:p>
    <w:p>
      <w:pPr>
        <w:pStyle w:val="17"/>
        <w:adjustRightInd w:val="0"/>
        <w:snapToGrid w:val="0"/>
        <w:spacing w:after="0" w:line="440" w:lineRule="exact"/>
        <w:ind w:left="0" w:leftChars="0" w:firstLine="520" w:firstLineChars="200"/>
        <w:outlineLvl w:val="2"/>
        <w:rPr>
          <w:rFonts w:ascii="仿宋" w:hAnsi="仿宋" w:eastAsia="仿宋"/>
          <w:bCs/>
          <w:kern w:val="0"/>
          <w:sz w:val="26"/>
          <w:szCs w:val="26"/>
        </w:rPr>
      </w:pPr>
      <w:bookmarkStart w:id="113" w:name="_Toc369955015"/>
      <w:r>
        <w:rPr>
          <w:rFonts w:hint="eastAsia" w:ascii="仿宋" w:hAnsi="仿宋" w:eastAsia="仿宋"/>
          <w:bCs/>
          <w:kern w:val="0"/>
          <w:sz w:val="26"/>
          <w:szCs w:val="26"/>
        </w:rPr>
        <w:t>1</w:t>
      </w:r>
      <w:r>
        <w:rPr>
          <w:rFonts w:ascii="仿宋" w:hAnsi="仿宋" w:eastAsia="仿宋"/>
          <w:bCs/>
          <w:kern w:val="0"/>
          <w:sz w:val="26"/>
          <w:szCs w:val="26"/>
        </w:rPr>
        <w:t>.</w:t>
      </w:r>
      <w:r>
        <w:rPr>
          <w:rFonts w:hint="eastAsia" w:ascii="仿宋" w:hAnsi="仿宋" w:eastAsia="仿宋"/>
          <w:bCs/>
          <w:kern w:val="0"/>
          <w:sz w:val="26"/>
          <w:szCs w:val="26"/>
        </w:rPr>
        <w:t>公共基础课</w:t>
      </w:r>
      <w:bookmarkEnd w:id="113"/>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公共基础课的教学依据教育部有关学科教学标准的基本要求，按照培养学生基本科学文化素养、服务学生专业学习和终身发展的需求来定位，重在教学方法、教学组织形式的改革，教学手段、教学模式的创新，为学生综合素质的提高、职业能力的形成和可持续发展奠定基础。</w:t>
      </w:r>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具体教学实施中按照小组合作学习的六步教学模式，采用角色扮演、情境教学、任务教学等教学方法，采用信息技术手段，结合丰富的数字教学资源，推动大数据、人工智能、虚拟现实等现代信息技术在教学中的广泛应用，充分调动学生学习积极性和主动性，提升教学质量和效率。</w:t>
      </w:r>
    </w:p>
    <w:p>
      <w:pPr>
        <w:pStyle w:val="17"/>
        <w:adjustRightInd w:val="0"/>
        <w:snapToGrid w:val="0"/>
        <w:spacing w:after="0" w:line="440" w:lineRule="exact"/>
        <w:ind w:left="0" w:leftChars="0" w:firstLine="520" w:firstLineChars="200"/>
        <w:outlineLvl w:val="2"/>
        <w:rPr>
          <w:rFonts w:ascii="仿宋" w:hAnsi="仿宋" w:eastAsia="仿宋"/>
          <w:bCs/>
          <w:kern w:val="0"/>
          <w:sz w:val="26"/>
          <w:szCs w:val="26"/>
        </w:rPr>
      </w:pPr>
      <w:bookmarkStart w:id="114" w:name="_Toc434759754"/>
      <w:r>
        <w:rPr>
          <w:rFonts w:ascii="仿宋" w:hAnsi="仿宋" w:eastAsia="仿宋"/>
          <w:bCs/>
          <w:kern w:val="0"/>
          <w:sz w:val="26"/>
          <w:szCs w:val="26"/>
        </w:rPr>
        <w:t>2.</w:t>
      </w:r>
      <w:r>
        <w:rPr>
          <w:rFonts w:hint="eastAsia" w:ascii="仿宋" w:hAnsi="仿宋" w:eastAsia="仿宋"/>
          <w:bCs/>
          <w:kern w:val="0"/>
          <w:sz w:val="26"/>
          <w:szCs w:val="26"/>
        </w:rPr>
        <w:t>专业技能课</w:t>
      </w:r>
      <w:bookmarkEnd w:id="114"/>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专业技能课程按照相应职业岗位（群）的能力要求组织，强化理论实践一体化，突出“做出学、做中教”的职业教育教学特色，按照基于工作过程的思路对课程结构和内容重组，实现学习内容与工作内容对接、教学过程与工作过程对接、学习环境与工作环境对接，同时，将1+</w:t>
      </w:r>
      <w:r>
        <w:rPr>
          <w:rFonts w:ascii="仿宋" w:hAnsi="仿宋" w:eastAsia="仿宋"/>
          <w:kern w:val="0"/>
          <w:sz w:val="26"/>
          <w:szCs w:val="26"/>
        </w:rPr>
        <w:t>X</w:t>
      </w:r>
      <w:r>
        <w:rPr>
          <w:rFonts w:hint="eastAsia" w:ascii="仿宋" w:hAnsi="仿宋" w:eastAsia="仿宋"/>
          <w:kern w:val="0"/>
          <w:sz w:val="26"/>
          <w:szCs w:val="26"/>
        </w:rPr>
        <w:t>证书制度职业技能等级标准有关内容及要求有机融入专业课程教学，强化学生综合职业能力的培养，有意识地强化企业工作规范及安全生产知识，培养学生良好的团队合作精神、服务意识、质量意识和节能环保意识，帮助学生养成规范严谨的操作习惯。</w:t>
      </w:r>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挖掘专业课程中蕴含的思想政治教育元素，将课程思政贯穿到专业课教学全过程，发挥专业课程的思想政治教育功能，使思想政治教育与技术技能培养紧密结合。</w:t>
      </w:r>
    </w:p>
    <w:p>
      <w:pPr>
        <w:pStyle w:val="17"/>
        <w:adjustRightInd w:val="0"/>
        <w:snapToGrid w:val="0"/>
        <w:spacing w:after="0" w:line="440" w:lineRule="exact"/>
        <w:ind w:left="0" w:leftChars="0" w:firstLine="520" w:firstLineChars="200"/>
        <w:rPr>
          <w:rFonts w:ascii="仿宋" w:hAnsi="仿宋" w:eastAsia="仿宋"/>
          <w:b/>
          <w:bCs/>
          <w:kern w:val="0"/>
          <w:sz w:val="26"/>
          <w:szCs w:val="26"/>
        </w:rPr>
      </w:pPr>
      <w:r>
        <w:rPr>
          <w:rFonts w:hint="eastAsia" w:ascii="仿宋" w:hAnsi="仿宋" w:eastAsia="仿宋"/>
          <w:kern w:val="0"/>
          <w:sz w:val="26"/>
          <w:szCs w:val="26"/>
        </w:rPr>
        <w:t>具体教学实施中倡导“</w:t>
      </w:r>
      <w:bookmarkStart w:id="115" w:name="_Hlk504120346"/>
      <w:r>
        <w:rPr>
          <w:rFonts w:hint="eastAsia" w:ascii="仿宋" w:hAnsi="仿宋" w:eastAsia="仿宋"/>
          <w:kern w:val="0"/>
          <w:sz w:val="26"/>
          <w:szCs w:val="26"/>
        </w:rPr>
        <w:t>理实一体”的专业课教学模式，</w:t>
      </w:r>
      <w:bookmarkEnd w:id="115"/>
      <w:r>
        <w:rPr>
          <w:rFonts w:hint="eastAsia" w:ascii="仿宋" w:hAnsi="仿宋" w:eastAsia="仿宋"/>
          <w:kern w:val="0"/>
          <w:sz w:val="26"/>
          <w:szCs w:val="26"/>
        </w:rPr>
        <w:t>在教学实施中一般采取以下步骤：第一步：提出项目（任务），第二步：自主学习、项目设计，第三步：项目（任务）实施，第四步：学生自查，第五步：工作评价。在整个环节中，理论和实践交替进行，理中有实，实中有理，充分调动和激发学生的学习兴趣，并通过运用多媒体、实物展示、实际操作等手段，增加教学的直观性。</w:t>
      </w:r>
    </w:p>
    <w:p>
      <w:pPr>
        <w:pStyle w:val="17"/>
        <w:adjustRightInd w:val="0"/>
        <w:snapToGrid w:val="0"/>
        <w:spacing w:after="0" w:line="440" w:lineRule="exact"/>
        <w:ind w:left="0" w:leftChars="0" w:firstLine="520" w:firstLineChars="200"/>
        <w:outlineLvl w:val="1"/>
        <w:rPr>
          <w:rFonts w:ascii="楷体" w:hAnsi="楷体" w:eastAsia="楷体"/>
          <w:bCs/>
          <w:kern w:val="0"/>
          <w:sz w:val="26"/>
          <w:szCs w:val="26"/>
        </w:rPr>
      </w:pPr>
      <w:bookmarkStart w:id="116" w:name="_Toc2037839516"/>
      <w:bookmarkStart w:id="117" w:name="_Toc2115031374"/>
      <w:bookmarkStart w:id="118" w:name="_Toc356073340"/>
      <w:r>
        <w:rPr>
          <w:rFonts w:hint="eastAsia" w:ascii="楷体" w:hAnsi="楷体" w:eastAsia="楷体"/>
          <w:bCs/>
          <w:kern w:val="0"/>
          <w:sz w:val="26"/>
          <w:szCs w:val="26"/>
        </w:rPr>
        <w:t>（五）学习评价</w:t>
      </w:r>
      <w:bookmarkEnd w:id="116"/>
      <w:bookmarkEnd w:id="117"/>
      <w:bookmarkEnd w:id="118"/>
    </w:p>
    <w:p>
      <w:pPr>
        <w:pStyle w:val="17"/>
        <w:adjustRightInd w:val="0"/>
        <w:snapToGrid w:val="0"/>
        <w:spacing w:after="0" w:line="440" w:lineRule="exact"/>
        <w:ind w:left="0" w:leftChars="0" w:firstLine="520" w:firstLineChars="200"/>
        <w:rPr>
          <w:rFonts w:ascii="仿宋" w:hAnsi="仿宋" w:eastAsia="仿宋"/>
          <w:kern w:val="0"/>
          <w:sz w:val="26"/>
          <w:szCs w:val="26"/>
        </w:rPr>
      </w:pPr>
      <w:r>
        <w:rPr>
          <w:rFonts w:ascii="仿宋" w:hAnsi="仿宋" w:eastAsia="仿宋"/>
          <w:kern w:val="0"/>
          <w:sz w:val="26"/>
          <w:szCs w:val="26"/>
        </w:rPr>
        <w:t>采取过程评价与结果评价相结</w:t>
      </w:r>
      <w:r>
        <w:rPr>
          <w:rFonts w:hint="eastAsia" w:ascii="仿宋" w:hAnsi="仿宋" w:eastAsia="仿宋"/>
          <w:kern w:val="0"/>
          <w:sz w:val="26"/>
          <w:szCs w:val="26"/>
        </w:rPr>
        <w:t>合</w:t>
      </w:r>
      <w:r>
        <w:rPr>
          <w:rFonts w:ascii="仿宋" w:hAnsi="仿宋" w:eastAsia="仿宋"/>
          <w:kern w:val="0"/>
          <w:sz w:val="26"/>
          <w:szCs w:val="26"/>
        </w:rPr>
        <w:t>的方式，</w:t>
      </w:r>
      <w:r>
        <w:rPr>
          <w:rFonts w:hint="eastAsia" w:ascii="仿宋" w:hAnsi="仿宋" w:eastAsia="仿宋"/>
          <w:kern w:val="0"/>
          <w:sz w:val="26"/>
          <w:szCs w:val="26"/>
        </w:rPr>
        <w:t>实现</w:t>
      </w:r>
      <w:r>
        <w:rPr>
          <w:rFonts w:ascii="仿宋" w:hAnsi="仿宋" w:eastAsia="仿宋"/>
          <w:kern w:val="0"/>
          <w:sz w:val="26"/>
          <w:szCs w:val="26"/>
        </w:rPr>
        <w:t>评价主体和评价内容的多元化，</w:t>
      </w:r>
      <w:r>
        <w:rPr>
          <w:rFonts w:hint="eastAsia" w:ascii="仿宋" w:hAnsi="仿宋" w:eastAsia="仿宋"/>
          <w:kern w:val="0"/>
          <w:sz w:val="26"/>
          <w:szCs w:val="26"/>
        </w:rPr>
        <w:t>既</w:t>
      </w:r>
      <w:r>
        <w:rPr>
          <w:rFonts w:ascii="仿宋" w:hAnsi="仿宋" w:eastAsia="仿宋"/>
          <w:kern w:val="0"/>
          <w:sz w:val="26"/>
          <w:szCs w:val="26"/>
        </w:rPr>
        <w:t>有教师评价，还有学生自评和互评，</w:t>
      </w:r>
      <w:r>
        <w:rPr>
          <w:rFonts w:hint="eastAsia" w:ascii="仿宋" w:hAnsi="仿宋" w:eastAsia="仿宋"/>
          <w:kern w:val="0"/>
          <w:sz w:val="26"/>
          <w:szCs w:val="26"/>
        </w:rPr>
        <w:t>既关注学生专业能力的提高，又关注学生社会能力的发展，既要加强对学生知识技能的考核，又要加强对学生课程学习过程的督导，从而激发学生学习的主动性和积极性，促进教学过程的优化。</w:t>
      </w:r>
    </w:p>
    <w:p>
      <w:pPr>
        <w:pStyle w:val="17"/>
        <w:adjustRightInd w:val="0"/>
        <w:snapToGrid w:val="0"/>
        <w:spacing w:after="0" w:line="420" w:lineRule="exact"/>
        <w:ind w:left="0" w:leftChars="0" w:firstLine="520" w:firstLineChars="200"/>
        <w:outlineLvl w:val="2"/>
        <w:rPr>
          <w:rFonts w:ascii="仿宋" w:hAnsi="仿宋" w:eastAsia="仿宋"/>
          <w:kern w:val="0"/>
          <w:sz w:val="26"/>
          <w:szCs w:val="26"/>
        </w:rPr>
      </w:pPr>
      <w:bookmarkStart w:id="119" w:name="_Toc1787004985"/>
      <w:bookmarkStart w:id="120" w:name="_Toc627_WPSOffice_Level3"/>
      <w:r>
        <w:rPr>
          <w:rFonts w:hint="eastAsia" w:ascii="仿宋" w:hAnsi="仿宋" w:eastAsia="仿宋"/>
          <w:kern w:val="0"/>
          <w:sz w:val="26"/>
          <w:szCs w:val="26"/>
        </w:rPr>
        <w:t>1.公共学习领域考核与评价</w:t>
      </w:r>
      <w:bookmarkEnd w:id="119"/>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公共基础学习领域重点考查学生的基本素质和对基础知识的掌握情况，采用过程性考核与终结性考核相结合的方式进行，过程性考核以出勤率、课堂表现、学习态度、作业及任务完成情况进行评价。终结性考核采用闭卷考核的方式，主要考核学生对所学知识的理解和应用。公共选修学习领域以过程性考核为主，终结性考核为辅，可采取汇报、演讲、讨论、终结性专题报告等方式。</w:t>
      </w:r>
    </w:p>
    <w:p>
      <w:pPr>
        <w:pStyle w:val="17"/>
        <w:adjustRightInd w:val="0"/>
        <w:snapToGrid w:val="0"/>
        <w:spacing w:after="0" w:line="420" w:lineRule="exact"/>
        <w:ind w:left="0" w:leftChars="0" w:firstLine="520" w:firstLineChars="200"/>
        <w:outlineLvl w:val="2"/>
        <w:rPr>
          <w:rFonts w:ascii="仿宋" w:hAnsi="仿宋" w:eastAsia="仿宋"/>
          <w:kern w:val="0"/>
          <w:sz w:val="26"/>
          <w:szCs w:val="26"/>
        </w:rPr>
      </w:pPr>
      <w:bookmarkStart w:id="121" w:name="_Toc1547793850"/>
      <w:r>
        <w:rPr>
          <w:rFonts w:hint="eastAsia" w:ascii="仿宋" w:hAnsi="仿宋" w:eastAsia="仿宋"/>
          <w:kern w:val="0"/>
          <w:sz w:val="26"/>
          <w:szCs w:val="26"/>
        </w:rPr>
        <w:t>2.专业学习领域考核与评价</w:t>
      </w:r>
      <w:bookmarkEnd w:id="121"/>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专业学习领域采取过程性评价与终结性考核相结合，过程性考核可以一堂课、一个教学单元为单位，根据课程特点可借助信息化教学平台，从线下（课堂出勤率、课堂表现、书面作业等）线上（话题讨论、作业提交、阶段性书面考核、线上活跃度等）进行知识、技能、素质的综合考核评价。终结性考核为基本知识、基本方法、知识应用等的考核，可采取书面考试、现场操作、提交案例分析报告等方式进行。</w:t>
      </w:r>
    </w:p>
    <w:p>
      <w:pPr>
        <w:pStyle w:val="17"/>
        <w:adjustRightInd w:val="0"/>
        <w:snapToGrid w:val="0"/>
        <w:spacing w:after="0" w:line="420" w:lineRule="exact"/>
        <w:ind w:left="0" w:leftChars="0" w:firstLine="520" w:firstLineChars="200"/>
        <w:outlineLvl w:val="2"/>
        <w:rPr>
          <w:rFonts w:ascii="仿宋" w:hAnsi="仿宋" w:eastAsia="仿宋"/>
          <w:kern w:val="0"/>
          <w:sz w:val="26"/>
          <w:szCs w:val="26"/>
        </w:rPr>
      </w:pPr>
      <w:bookmarkStart w:id="122" w:name="_Toc1135288058"/>
      <w:r>
        <w:rPr>
          <w:rFonts w:hint="eastAsia" w:ascii="仿宋" w:hAnsi="仿宋" w:eastAsia="仿宋"/>
          <w:kern w:val="0"/>
          <w:sz w:val="26"/>
          <w:szCs w:val="26"/>
        </w:rPr>
        <w:t>3.素质拓展领域考核与评价</w:t>
      </w:r>
      <w:bookmarkEnd w:id="122"/>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素质拓展领域采取过程性考核，可通过技能大赛、社会实践、1+x考核题库、各种社团活动的开展进行，主要考核学生是否具有良好的团队精神、创新精神，是否具备正确的人生观、价值观、世界观，可采取观察、谈话等方式进行。</w:t>
      </w:r>
    </w:p>
    <w:p>
      <w:pPr>
        <w:pStyle w:val="17"/>
        <w:adjustRightInd w:val="0"/>
        <w:snapToGrid w:val="0"/>
        <w:spacing w:after="0" w:line="420" w:lineRule="exact"/>
        <w:ind w:left="0" w:leftChars="0" w:firstLine="520" w:firstLineChars="200"/>
        <w:outlineLvl w:val="2"/>
        <w:rPr>
          <w:rFonts w:ascii="仿宋" w:hAnsi="仿宋" w:eastAsia="仿宋" w:cs="仿宋"/>
          <w:kern w:val="0"/>
          <w:sz w:val="26"/>
          <w:szCs w:val="26"/>
        </w:rPr>
      </w:pPr>
      <w:bookmarkStart w:id="123" w:name="_Toc1716103145"/>
      <w:r>
        <w:rPr>
          <w:rFonts w:hint="eastAsia" w:ascii="仿宋" w:hAnsi="仿宋" w:eastAsia="仿宋" w:cs="仿宋"/>
          <w:kern w:val="0"/>
          <w:sz w:val="26"/>
          <w:szCs w:val="26"/>
        </w:rPr>
        <w:t>4.实习评价</w:t>
      </w:r>
      <w:bookmarkEnd w:id="120"/>
      <w:bookmarkEnd w:id="123"/>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cs="仿宋"/>
          <w:kern w:val="0"/>
          <w:sz w:val="26"/>
          <w:szCs w:val="26"/>
        </w:rPr>
        <w:t>成立由企业指导教师、专业指导教师和班主任组成的考核组，以企业考核为主，主要对学生在顶岗实习期间的劳动纪律、工作态度、团队合作精神、人际沟通能力、专业技术能力和任务完成情况等方面进行考核评价。</w:t>
      </w:r>
    </w:p>
    <w:p>
      <w:pPr>
        <w:pStyle w:val="17"/>
        <w:adjustRightInd w:val="0"/>
        <w:snapToGrid w:val="0"/>
        <w:spacing w:after="0" w:line="440" w:lineRule="exact"/>
        <w:ind w:left="0" w:leftChars="0" w:firstLine="520" w:firstLineChars="200"/>
        <w:outlineLvl w:val="1"/>
        <w:rPr>
          <w:rFonts w:ascii="楷体" w:hAnsi="楷体" w:eastAsia="楷体"/>
          <w:bCs/>
          <w:kern w:val="0"/>
          <w:sz w:val="26"/>
          <w:szCs w:val="26"/>
        </w:rPr>
      </w:pPr>
      <w:bookmarkStart w:id="124" w:name="_Toc1683242288"/>
      <w:bookmarkStart w:id="125" w:name="_Toc1089594859"/>
      <w:bookmarkStart w:id="126" w:name="_Toc317784691"/>
      <w:r>
        <w:rPr>
          <w:rFonts w:hint="eastAsia" w:ascii="楷体" w:hAnsi="楷体" w:eastAsia="楷体"/>
          <w:bCs/>
          <w:kern w:val="0"/>
          <w:sz w:val="26"/>
          <w:szCs w:val="26"/>
        </w:rPr>
        <w:t>（六）质量管理</w:t>
      </w:r>
      <w:bookmarkEnd w:id="124"/>
      <w:bookmarkEnd w:id="125"/>
      <w:bookmarkEnd w:id="126"/>
    </w:p>
    <w:p>
      <w:pPr>
        <w:pStyle w:val="17"/>
        <w:snapToGrid w:val="0"/>
        <w:spacing w:line="44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质量管理方面合理调配教师、实训室和实训场地等教学资源，为课程的实施创造条件；要加强对教学过程的质量监控，改革教学评价的标准和方法，促进教师教学能力的提升，保证教学质量。主要体现在以下四个方面：</w:t>
      </w:r>
    </w:p>
    <w:p>
      <w:pPr>
        <w:pStyle w:val="17"/>
        <w:snapToGrid w:val="0"/>
        <w:spacing w:line="440" w:lineRule="exact"/>
        <w:ind w:left="0" w:leftChars="0" w:firstLine="520" w:firstLineChars="200"/>
        <w:rPr>
          <w:rFonts w:ascii="仿宋" w:hAnsi="仿宋" w:eastAsia="仿宋"/>
          <w:kern w:val="0"/>
          <w:sz w:val="26"/>
          <w:szCs w:val="26"/>
        </w:rPr>
      </w:pPr>
      <w:r>
        <w:rPr>
          <w:rFonts w:ascii="仿宋" w:hAnsi="仿宋" w:eastAsia="仿宋"/>
          <w:kern w:val="0"/>
          <w:sz w:val="26"/>
          <w:szCs w:val="26"/>
        </w:rPr>
        <w:t>1.</w:t>
      </w:r>
      <w:r>
        <w:rPr>
          <w:rFonts w:hint="eastAsia" w:ascii="仿宋" w:hAnsi="仿宋" w:eastAsia="仿宋"/>
          <w:kern w:val="0"/>
          <w:sz w:val="26"/>
          <w:szCs w:val="26"/>
        </w:rPr>
        <w:t>教学过程管理，即按照教学过程的规律来决定教学工作的顺序，建立相应的方法，通过计划、实施、检查和总结等措施来实现教学目标。</w:t>
      </w:r>
    </w:p>
    <w:p>
      <w:pPr>
        <w:pStyle w:val="17"/>
        <w:snapToGrid w:val="0"/>
        <w:spacing w:line="440" w:lineRule="exact"/>
        <w:ind w:left="0" w:leftChars="0" w:firstLine="520" w:firstLineChars="200"/>
        <w:rPr>
          <w:rFonts w:ascii="仿宋" w:hAnsi="仿宋" w:eastAsia="仿宋"/>
          <w:kern w:val="0"/>
          <w:sz w:val="26"/>
          <w:szCs w:val="26"/>
        </w:rPr>
      </w:pPr>
      <w:r>
        <w:rPr>
          <w:rFonts w:ascii="仿宋" w:hAnsi="仿宋" w:eastAsia="仿宋"/>
          <w:kern w:val="0"/>
          <w:sz w:val="26"/>
          <w:szCs w:val="26"/>
        </w:rPr>
        <w:t>2.</w:t>
      </w:r>
      <w:r>
        <w:rPr>
          <w:rFonts w:hint="eastAsia" w:ascii="仿宋" w:hAnsi="仿宋" w:eastAsia="仿宋"/>
          <w:kern w:val="0"/>
          <w:sz w:val="26"/>
          <w:szCs w:val="26"/>
        </w:rPr>
        <w:t>教学业务管理，即对学校教学业务工作进行有计划、有</w:t>
      </w:r>
      <w:r>
        <w:rPr>
          <w:rFonts w:hint="eastAsia" w:ascii="仿宋" w:hAnsi="仿宋" w:eastAsia="仿宋"/>
          <w:kern w:val="0"/>
          <w:sz w:val="26"/>
          <w:szCs w:val="26"/>
          <w:lang w:eastAsia="zh-CN"/>
        </w:rPr>
        <w:t>组织地管理</w:t>
      </w:r>
      <w:r>
        <w:rPr>
          <w:rFonts w:hint="eastAsia" w:ascii="仿宋" w:hAnsi="仿宋" w:eastAsia="仿宋"/>
          <w:kern w:val="0"/>
          <w:sz w:val="26"/>
          <w:szCs w:val="26"/>
        </w:rPr>
        <w:t>。</w:t>
      </w:r>
    </w:p>
    <w:p>
      <w:pPr>
        <w:pStyle w:val="17"/>
        <w:snapToGrid w:val="0"/>
        <w:spacing w:line="440" w:lineRule="exact"/>
        <w:ind w:left="0" w:leftChars="0" w:firstLine="520" w:firstLineChars="200"/>
        <w:rPr>
          <w:rFonts w:ascii="仿宋" w:hAnsi="仿宋" w:eastAsia="仿宋"/>
          <w:kern w:val="0"/>
          <w:sz w:val="26"/>
          <w:szCs w:val="26"/>
        </w:rPr>
      </w:pPr>
      <w:r>
        <w:rPr>
          <w:rFonts w:ascii="仿宋" w:hAnsi="仿宋" w:eastAsia="仿宋"/>
          <w:kern w:val="0"/>
          <w:sz w:val="26"/>
          <w:szCs w:val="26"/>
        </w:rPr>
        <w:t>3.</w:t>
      </w:r>
      <w:r>
        <w:rPr>
          <w:rFonts w:hint="eastAsia" w:ascii="仿宋" w:hAnsi="仿宋" w:eastAsia="仿宋"/>
          <w:kern w:val="0"/>
          <w:sz w:val="26"/>
          <w:szCs w:val="26"/>
        </w:rPr>
        <w:t>教学质量管理，即按照培养目标的要求安排教学活动，并对教学过程的各个阶段和环节进行质量控制。</w:t>
      </w:r>
    </w:p>
    <w:p>
      <w:pPr>
        <w:pStyle w:val="17"/>
        <w:snapToGrid w:val="0"/>
        <w:spacing w:line="440" w:lineRule="exact"/>
        <w:ind w:left="0" w:leftChars="0" w:firstLine="520" w:firstLineChars="200"/>
        <w:rPr>
          <w:rFonts w:ascii="仿宋" w:hAnsi="仿宋" w:eastAsia="仿宋"/>
          <w:kern w:val="0"/>
          <w:sz w:val="26"/>
          <w:szCs w:val="26"/>
        </w:rPr>
      </w:pPr>
      <w:r>
        <w:rPr>
          <w:rFonts w:ascii="仿宋" w:hAnsi="仿宋" w:eastAsia="仿宋"/>
          <w:kern w:val="0"/>
          <w:sz w:val="26"/>
          <w:szCs w:val="26"/>
        </w:rPr>
        <w:t>4.</w:t>
      </w:r>
      <w:r>
        <w:rPr>
          <w:rFonts w:hint="eastAsia" w:ascii="仿宋" w:hAnsi="仿宋" w:eastAsia="仿宋"/>
          <w:kern w:val="0"/>
          <w:sz w:val="26"/>
          <w:szCs w:val="26"/>
        </w:rPr>
        <w:t>教学监控管理，即通过教学监控发现教学中存在的问题，分析产生问题的原因，提出纠正问题的建议，促进教学质量的提高，促进学生学习水平的提高和教师业务能力的发展，保证课程实施的质量。</w:t>
      </w:r>
    </w:p>
    <w:p>
      <w:pPr>
        <w:adjustRightInd w:val="0"/>
        <w:snapToGrid w:val="0"/>
        <w:spacing w:line="440" w:lineRule="exact"/>
        <w:ind w:firstLine="520" w:firstLineChars="200"/>
        <w:outlineLvl w:val="0"/>
        <w:rPr>
          <w:rFonts w:ascii="黑体" w:hAnsi="黑体" w:eastAsia="黑体"/>
          <w:sz w:val="26"/>
          <w:szCs w:val="26"/>
        </w:rPr>
      </w:pPr>
      <w:bookmarkStart w:id="127" w:name="_Toc986938383"/>
      <w:bookmarkStart w:id="128" w:name="_Toc1782636374"/>
      <w:bookmarkStart w:id="129" w:name="_Toc911235834"/>
      <w:bookmarkStart w:id="130" w:name="_Toc2080631659"/>
      <w:bookmarkStart w:id="131" w:name="_Toc1925396504"/>
      <w:r>
        <w:rPr>
          <w:rFonts w:hint="eastAsia" w:ascii="黑体" w:hAnsi="黑体" w:eastAsia="黑体"/>
          <w:sz w:val="26"/>
          <w:szCs w:val="26"/>
        </w:rPr>
        <w:t>十、毕业要求</w:t>
      </w:r>
      <w:bookmarkEnd w:id="127"/>
      <w:bookmarkEnd w:id="128"/>
      <w:bookmarkEnd w:id="129"/>
      <w:bookmarkEnd w:id="130"/>
      <w:bookmarkEnd w:id="131"/>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按照此培养方案，完成教学计划规定的课程内容学习，且成绩合格；根据学院《学分认定与转换管理办法》，达到应修总学分。原则上需参加技能抽考并合格，另取得至少一项及以上相关技能证书，方准予毕业。具体要求如下：</w:t>
      </w:r>
    </w:p>
    <w:p>
      <w:pPr>
        <w:pStyle w:val="17"/>
        <w:adjustRightInd w:val="0"/>
        <w:snapToGrid w:val="0"/>
        <w:spacing w:after="0" w:line="420" w:lineRule="exact"/>
        <w:ind w:left="0" w:leftChars="0" w:firstLine="520" w:firstLineChars="200"/>
        <w:rPr>
          <w:rFonts w:ascii="仿宋" w:hAnsi="仿宋" w:eastAsia="仿宋"/>
          <w:kern w:val="0"/>
          <w:sz w:val="26"/>
          <w:szCs w:val="26"/>
        </w:rPr>
      </w:pPr>
      <w:r>
        <w:rPr>
          <w:rFonts w:hint="eastAsia" w:ascii="仿宋" w:hAnsi="仿宋" w:eastAsia="仿宋"/>
          <w:kern w:val="0"/>
          <w:sz w:val="26"/>
          <w:szCs w:val="26"/>
        </w:rPr>
        <w:t>1.修满 186 学分/3240 学时。</w:t>
      </w:r>
    </w:p>
    <w:p>
      <w:pPr>
        <w:adjustRightInd w:val="0"/>
        <w:snapToGrid w:val="0"/>
        <w:spacing w:line="420" w:lineRule="exact"/>
        <w:ind w:firstLine="520" w:firstLineChars="200"/>
        <w:rPr>
          <w:rFonts w:ascii="仿宋" w:hAnsi="仿宋" w:eastAsia="仿宋" w:cs="仿宋"/>
          <w:sz w:val="26"/>
          <w:szCs w:val="26"/>
        </w:rPr>
      </w:pPr>
      <w:r>
        <w:rPr>
          <w:rFonts w:hint="eastAsia" w:ascii="仿宋" w:hAnsi="仿宋" w:eastAsia="仿宋"/>
          <w:kern w:val="0"/>
          <w:sz w:val="26"/>
          <w:szCs w:val="26"/>
        </w:rPr>
        <w:t>2.</w:t>
      </w:r>
      <w:r>
        <w:rPr>
          <w:rFonts w:hint="eastAsia" w:ascii="仿宋" w:hAnsi="仿宋" w:eastAsia="仿宋" w:cs="仿宋"/>
          <w:sz w:val="26"/>
          <w:szCs w:val="26"/>
        </w:rPr>
        <w:t>实施岗课赛证融通，</w:t>
      </w:r>
      <w:r>
        <w:rPr>
          <w:rFonts w:hint="eastAsia" w:ascii="仿宋" w:hAnsi="仿宋" w:eastAsia="仿宋"/>
          <w:kern w:val="0"/>
          <w:sz w:val="26"/>
          <w:szCs w:val="26"/>
        </w:rPr>
        <w:t>对取得汽车维修工（四级）技能等级证、1+X职业技能等级证书其中一项资格证书、获得</w:t>
      </w:r>
      <w:r>
        <w:rPr>
          <w:rFonts w:hint="eastAsia" w:ascii="仿宋" w:hAnsi="仿宋" w:eastAsia="仿宋" w:cs="仿宋"/>
          <w:sz w:val="26"/>
          <w:szCs w:val="26"/>
        </w:rPr>
        <w:t>国家、省、市技能比赛获取技能大赛获奖证书、积极参加深入企业进行跟岗、顶岗实习。每个证书赋予学生1-2学分，帮助学生达到和超额完成最低186学分的要求，获得学历证书，拓展就业创业本领。</w:t>
      </w:r>
    </w:p>
    <w:p>
      <w:pPr>
        <w:adjustRightInd w:val="0"/>
        <w:snapToGrid w:val="0"/>
        <w:spacing w:line="420" w:lineRule="exact"/>
        <w:ind w:firstLine="520" w:firstLineChars="200"/>
        <w:rPr>
          <w:rFonts w:ascii="黑体" w:hAnsi="黑体" w:eastAsia="黑体"/>
          <w:sz w:val="26"/>
          <w:szCs w:val="26"/>
        </w:rPr>
      </w:pPr>
    </w:p>
    <w:p>
      <w:pPr>
        <w:adjustRightInd w:val="0"/>
        <w:snapToGrid w:val="0"/>
        <w:spacing w:line="460" w:lineRule="exact"/>
        <w:rPr>
          <w:rFonts w:ascii="黑体" w:hAnsi="黑体" w:eastAsia="黑体"/>
          <w:b/>
          <w:bCs/>
          <w:sz w:val="30"/>
          <w:szCs w:val="30"/>
        </w:rPr>
      </w:pPr>
    </w:p>
    <w:p>
      <w:pPr>
        <w:adjustRightInd w:val="0"/>
        <w:snapToGrid w:val="0"/>
        <w:spacing w:line="460" w:lineRule="exact"/>
        <w:rPr>
          <w:rFonts w:ascii="黑体" w:hAnsi="黑体" w:eastAsia="黑体"/>
          <w:b/>
          <w:bCs/>
          <w:sz w:val="30"/>
          <w:szCs w:val="30"/>
        </w:rPr>
      </w:pPr>
    </w:p>
    <w:p>
      <w:pPr>
        <w:adjustRightInd w:val="0"/>
        <w:snapToGrid w:val="0"/>
        <w:spacing w:line="460" w:lineRule="exact"/>
        <w:rPr>
          <w:rFonts w:ascii="黑体" w:hAnsi="黑体" w:eastAsia="黑体"/>
          <w:b/>
          <w:bCs/>
          <w:sz w:val="30"/>
          <w:szCs w:val="30"/>
        </w:rPr>
      </w:pPr>
    </w:p>
    <w:sectPr>
      <w:footerReference r:id="rId8" w:type="default"/>
      <w:pgSz w:w="11906" w:h="16838"/>
      <w:pgMar w:top="1418" w:right="1418" w:bottom="1134" w:left="1418" w:header="851" w:footer="85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中黑简">
    <w:altName w:val="黑体"/>
    <w:panose1 w:val="02010600000101010101"/>
    <w:charset w:val="86"/>
    <w:family w:val="modern"/>
    <w:pitch w:val="default"/>
    <w:sig w:usb0="00000000" w:usb1="00000000" w:usb2="00000002" w:usb3="00000000" w:csb0="00040000" w:csb1="00000000"/>
  </w:font>
  <w:font w:name="汉仪书宋一简">
    <w:altName w:val="宋体"/>
    <w:panose1 w:val="00000000000000000000"/>
    <w:charset w:val="86"/>
    <w:family w:val="modern"/>
    <w:pitch w:val="default"/>
    <w:sig w:usb0="00000000" w:usb1="000000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汉仪雅酷黑 75W">
    <w:altName w:val="黑体"/>
    <w:panose1 w:val="00000000000000000000"/>
    <w:charset w:val="86"/>
    <w:family w:val="auto"/>
    <w:pitch w:val="default"/>
    <w:sig w:usb0="00000000" w:usb1="00000000" w:usb2="00000016" w:usb3="00000000" w:csb0="2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firstLine="360"/>
      <w:jc w:val="center"/>
      <w:rPr>
        <w:rFonts w:ascii="宋体" w:hAnsi="宋体"/>
        <w:sz w:val="28"/>
      </w:rPr>
    </w:pPr>
    <w:r>
      <w:rPr>
        <w:rFonts w:ascii="宋体" w:hAnsi="宋体"/>
        <w:sz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81635" cy="19748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1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5.55pt;width:30.05pt;mso-position-horizontal:center;mso-position-horizontal-relative:margin;mso-wrap-style:none;z-index:251663360;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231tHRAAAAAwEAAA8AAAAAAAAAAQAgAAAAIgAAAGRycy9kb3ducmV2LnhtbFBLAQIU&#10;ABQAAAAIAIdO4kAl58UK+gEAAAEEAAAOAAAAAAAAAAEAIAAAACABAABkcnMvZTJvRG9jLnhtbFBL&#10;BQYAAAAABgAGAFkBAACMBQAAAAA=&#10;">
              <v:fill on="f" focussize="0,0"/>
              <v:stroke on="f"/>
              <v:imagedata o:title=""/>
              <o:lock v:ext="edit" aspectratio="f"/>
              <v:textbox inset="0mm,0mm,0mm,0mm" style="mso-fit-shape-to-text:t;">
                <w:txbxContent>
                  <w:p>
                    <w:pPr>
                      <w:pStyle w:val="1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- 1 -</w:t>
                    </w:r>
                    <w:r>
                      <w:rPr>
                        <w:rFonts w:hint="eastAsia" w:ascii="宋体" w:hAnsi="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34035" cy="197485"/>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197485"/>
                      </a:xfrm>
                      <a:prstGeom prst="rect">
                        <a:avLst/>
                      </a:prstGeom>
                      <a:noFill/>
                      <a:ln>
                        <a:noFill/>
                      </a:ln>
                    </wps:spPr>
                    <wps:txbx>
                      <w:txbxContent>
                        <w:p>
                          <w:pPr>
                            <w:pStyle w:val="1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- 11 -</w:t>
                          </w:r>
                          <w:r>
                            <w:rPr>
                              <w:rFonts w:hint="eastAsia" w:ascii="宋体" w:hAnsi="宋体" w:cs="宋体"/>
                              <w:sz w:val="24"/>
                              <w:szCs w:val="24"/>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5.55pt;width:42.05pt;mso-position-horizontal:center;mso-position-horizontal-relative:margin;mso-wrap-style:none;z-index:251662336;mso-width-relative:page;mso-height-relative:page;" filled="f" stroked="f" coordsize="21600,21600" o:gfxdata="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Vrzo0AAAAAMBAAAPAAAAAAAAAAEAIAAAACIAAABkcnMvZG93bnJldi54bWxQSwEC&#10;FAAUAAAACACHTuJAKWz3DPwBAAACBAAADgAAAAAAAAABACAAAAAfAQAAZHJzL2Uyb0RvYy54bWxQ&#10;SwUGAAAAAAYABgBZAQAAjQUAAAAA&#10;">
              <v:fill on="f" focussize="0,0"/>
              <v:stroke on="f"/>
              <v:imagedata o:title=""/>
              <o:lock v:ext="edit" aspectratio="f"/>
              <v:textbox inset="0mm,0mm,0mm,0mm" style="mso-fit-shape-to-text:t;">
                <w:txbxContent>
                  <w:p>
                    <w:pPr>
                      <w:pStyle w:val="1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- 11 -</w:t>
                    </w:r>
                    <w:r>
                      <w:rPr>
                        <w:rFonts w:hint="eastAsia" w:ascii="宋体" w:hAnsi="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NjhlNTUwMzEyOGVjM2I0YWRkOGQ4YjdkZmFmYTQifQ=="/>
  </w:docVars>
  <w:rsids>
    <w:rsidRoot w:val="00172A27"/>
    <w:rsid w:val="00005498"/>
    <w:rsid w:val="0000716A"/>
    <w:rsid w:val="00015CE7"/>
    <w:rsid w:val="00017346"/>
    <w:rsid w:val="000174CA"/>
    <w:rsid w:val="0002493D"/>
    <w:rsid w:val="00025C3B"/>
    <w:rsid w:val="0003019A"/>
    <w:rsid w:val="00033A92"/>
    <w:rsid w:val="00034BB3"/>
    <w:rsid w:val="000434B2"/>
    <w:rsid w:val="000547C3"/>
    <w:rsid w:val="00055820"/>
    <w:rsid w:val="00055DF7"/>
    <w:rsid w:val="00060C11"/>
    <w:rsid w:val="0006509B"/>
    <w:rsid w:val="00065795"/>
    <w:rsid w:val="00065D60"/>
    <w:rsid w:val="00071C3F"/>
    <w:rsid w:val="00072C7D"/>
    <w:rsid w:val="0007321D"/>
    <w:rsid w:val="000803C9"/>
    <w:rsid w:val="00080831"/>
    <w:rsid w:val="000817C0"/>
    <w:rsid w:val="0008192D"/>
    <w:rsid w:val="00082A8A"/>
    <w:rsid w:val="000854AB"/>
    <w:rsid w:val="00085A7F"/>
    <w:rsid w:val="0008653E"/>
    <w:rsid w:val="000869B4"/>
    <w:rsid w:val="00093195"/>
    <w:rsid w:val="00097F58"/>
    <w:rsid w:val="000A39C2"/>
    <w:rsid w:val="000A6282"/>
    <w:rsid w:val="000B1C84"/>
    <w:rsid w:val="000B34DF"/>
    <w:rsid w:val="000B4D10"/>
    <w:rsid w:val="000C058B"/>
    <w:rsid w:val="000C2010"/>
    <w:rsid w:val="000C2E4A"/>
    <w:rsid w:val="000C772F"/>
    <w:rsid w:val="000C7BB5"/>
    <w:rsid w:val="000C7BEC"/>
    <w:rsid w:val="000D3611"/>
    <w:rsid w:val="000D56E4"/>
    <w:rsid w:val="000E1D0D"/>
    <w:rsid w:val="000E26FD"/>
    <w:rsid w:val="000E60DB"/>
    <w:rsid w:val="000E710E"/>
    <w:rsid w:val="000F6CA5"/>
    <w:rsid w:val="001047C3"/>
    <w:rsid w:val="00105435"/>
    <w:rsid w:val="00105AF3"/>
    <w:rsid w:val="001075B6"/>
    <w:rsid w:val="001103C6"/>
    <w:rsid w:val="00110C30"/>
    <w:rsid w:val="001135A0"/>
    <w:rsid w:val="00121FB9"/>
    <w:rsid w:val="00122562"/>
    <w:rsid w:val="0013548A"/>
    <w:rsid w:val="00137145"/>
    <w:rsid w:val="00142AEF"/>
    <w:rsid w:val="00147176"/>
    <w:rsid w:val="001516FF"/>
    <w:rsid w:val="00156BC5"/>
    <w:rsid w:val="0016016A"/>
    <w:rsid w:val="001602BB"/>
    <w:rsid w:val="001604C4"/>
    <w:rsid w:val="00162448"/>
    <w:rsid w:val="001709F0"/>
    <w:rsid w:val="00172A27"/>
    <w:rsid w:val="001731AC"/>
    <w:rsid w:val="00174CC9"/>
    <w:rsid w:val="00180DD9"/>
    <w:rsid w:val="00180E3F"/>
    <w:rsid w:val="00183C4F"/>
    <w:rsid w:val="00192CAA"/>
    <w:rsid w:val="00194166"/>
    <w:rsid w:val="001A6C02"/>
    <w:rsid w:val="001B1933"/>
    <w:rsid w:val="001B555C"/>
    <w:rsid w:val="001B7D29"/>
    <w:rsid w:val="001C4A2C"/>
    <w:rsid w:val="001C601F"/>
    <w:rsid w:val="001D26E4"/>
    <w:rsid w:val="001D38C2"/>
    <w:rsid w:val="001D45C2"/>
    <w:rsid w:val="001E33FB"/>
    <w:rsid w:val="001E604C"/>
    <w:rsid w:val="001E6F8F"/>
    <w:rsid w:val="001E7654"/>
    <w:rsid w:val="001F0277"/>
    <w:rsid w:val="001F25A5"/>
    <w:rsid w:val="001F3289"/>
    <w:rsid w:val="001F4F34"/>
    <w:rsid w:val="001F631A"/>
    <w:rsid w:val="00201743"/>
    <w:rsid w:val="00201ABD"/>
    <w:rsid w:val="00202D07"/>
    <w:rsid w:val="00203F7A"/>
    <w:rsid w:val="00216309"/>
    <w:rsid w:val="0022394D"/>
    <w:rsid w:val="00225D80"/>
    <w:rsid w:val="002269FA"/>
    <w:rsid w:val="0023076D"/>
    <w:rsid w:val="0023241B"/>
    <w:rsid w:val="00245522"/>
    <w:rsid w:val="00245617"/>
    <w:rsid w:val="002469F5"/>
    <w:rsid w:val="002472F7"/>
    <w:rsid w:val="002476E8"/>
    <w:rsid w:val="00250C66"/>
    <w:rsid w:val="00256C78"/>
    <w:rsid w:val="00262BFC"/>
    <w:rsid w:val="002657C6"/>
    <w:rsid w:val="00267337"/>
    <w:rsid w:val="00270B81"/>
    <w:rsid w:val="002726FB"/>
    <w:rsid w:val="002737F5"/>
    <w:rsid w:val="002759AF"/>
    <w:rsid w:val="0028022F"/>
    <w:rsid w:val="002842C6"/>
    <w:rsid w:val="0028504B"/>
    <w:rsid w:val="00286286"/>
    <w:rsid w:val="002971D0"/>
    <w:rsid w:val="0029742E"/>
    <w:rsid w:val="00297E55"/>
    <w:rsid w:val="002A26D4"/>
    <w:rsid w:val="002A7CAC"/>
    <w:rsid w:val="002A7F38"/>
    <w:rsid w:val="002B5B43"/>
    <w:rsid w:val="002B6A92"/>
    <w:rsid w:val="002C0FD4"/>
    <w:rsid w:val="002C697E"/>
    <w:rsid w:val="002D2703"/>
    <w:rsid w:val="002E043F"/>
    <w:rsid w:val="002E2C8C"/>
    <w:rsid w:val="002E5408"/>
    <w:rsid w:val="002E6DA6"/>
    <w:rsid w:val="002F62CA"/>
    <w:rsid w:val="00303BAC"/>
    <w:rsid w:val="0030607B"/>
    <w:rsid w:val="003068B5"/>
    <w:rsid w:val="003143E6"/>
    <w:rsid w:val="00316FF1"/>
    <w:rsid w:val="0032137D"/>
    <w:rsid w:val="00322519"/>
    <w:rsid w:val="0032364D"/>
    <w:rsid w:val="00323DD9"/>
    <w:rsid w:val="00324573"/>
    <w:rsid w:val="00327A85"/>
    <w:rsid w:val="00330848"/>
    <w:rsid w:val="00337762"/>
    <w:rsid w:val="00340C88"/>
    <w:rsid w:val="00342099"/>
    <w:rsid w:val="00343792"/>
    <w:rsid w:val="00344579"/>
    <w:rsid w:val="00345FB9"/>
    <w:rsid w:val="00347FF3"/>
    <w:rsid w:val="00351DD1"/>
    <w:rsid w:val="00353C2D"/>
    <w:rsid w:val="003541CA"/>
    <w:rsid w:val="00355946"/>
    <w:rsid w:val="00363F25"/>
    <w:rsid w:val="00365D12"/>
    <w:rsid w:val="003717D7"/>
    <w:rsid w:val="00376204"/>
    <w:rsid w:val="00380303"/>
    <w:rsid w:val="00381D2C"/>
    <w:rsid w:val="00384F87"/>
    <w:rsid w:val="003943D2"/>
    <w:rsid w:val="00394C4C"/>
    <w:rsid w:val="003A0837"/>
    <w:rsid w:val="003A3132"/>
    <w:rsid w:val="003A3BEC"/>
    <w:rsid w:val="003A4948"/>
    <w:rsid w:val="003B171F"/>
    <w:rsid w:val="003B6093"/>
    <w:rsid w:val="003B7043"/>
    <w:rsid w:val="003C073B"/>
    <w:rsid w:val="003C15D3"/>
    <w:rsid w:val="003C1964"/>
    <w:rsid w:val="003C4F11"/>
    <w:rsid w:val="003D5CAF"/>
    <w:rsid w:val="003D6ADA"/>
    <w:rsid w:val="003E2048"/>
    <w:rsid w:val="003F33E6"/>
    <w:rsid w:val="003F4EE6"/>
    <w:rsid w:val="003F57AA"/>
    <w:rsid w:val="003F67E0"/>
    <w:rsid w:val="0040148F"/>
    <w:rsid w:val="004053B5"/>
    <w:rsid w:val="00407468"/>
    <w:rsid w:val="004115E5"/>
    <w:rsid w:val="004145B7"/>
    <w:rsid w:val="004156D9"/>
    <w:rsid w:val="00417EE5"/>
    <w:rsid w:val="004218F0"/>
    <w:rsid w:val="00421D56"/>
    <w:rsid w:val="004242F8"/>
    <w:rsid w:val="00426508"/>
    <w:rsid w:val="00426626"/>
    <w:rsid w:val="00431D79"/>
    <w:rsid w:val="00432CF0"/>
    <w:rsid w:val="004412C8"/>
    <w:rsid w:val="004427BF"/>
    <w:rsid w:val="00443E6E"/>
    <w:rsid w:val="004453DB"/>
    <w:rsid w:val="00446F66"/>
    <w:rsid w:val="00453927"/>
    <w:rsid w:val="00460216"/>
    <w:rsid w:val="00460946"/>
    <w:rsid w:val="00466253"/>
    <w:rsid w:val="00467777"/>
    <w:rsid w:val="004720C1"/>
    <w:rsid w:val="004746B9"/>
    <w:rsid w:val="004762A9"/>
    <w:rsid w:val="00480FCD"/>
    <w:rsid w:val="00481B23"/>
    <w:rsid w:val="00483515"/>
    <w:rsid w:val="00484719"/>
    <w:rsid w:val="00485B09"/>
    <w:rsid w:val="00490E71"/>
    <w:rsid w:val="00491DBD"/>
    <w:rsid w:val="004A1EFF"/>
    <w:rsid w:val="004B166E"/>
    <w:rsid w:val="004B3102"/>
    <w:rsid w:val="004B584E"/>
    <w:rsid w:val="004C28AC"/>
    <w:rsid w:val="004C54B1"/>
    <w:rsid w:val="004D0203"/>
    <w:rsid w:val="004D6281"/>
    <w:rsid w:val="004E2633"/>
    <w:rsid w:val="004E2642"/>
    <w:rsid w:val="004E317F"/>
    <w:rsid w:val="004F1F7E"/>
    <w:rsid w:val="004F2758"/>
    <w:rsid w:val="004F3E99"/>
    <w:rsid w:val="004F4915"/>
    <w:rsid w:val="004F7F2A"/>
    <w:rsid w:val="00500544"/>
    <w:rsid w:val="00500814"/>
    <w:rsid w:val="005008A3"/>
    <w:rsid w:val="005031EA"/>
    <w:rsid w:val="005067B7"/>
    <w:rsid w:val="005110EA"/>
    <w:rsid w:val="005121D1"/>
    <w:rsid w:val="00520DC7"/>
    <w:rsid w:val="005212AF"/>
    <w:rsid w:val="0052339E"/>
    <w:rsid w:val="0052583C"/>
    <w:rsid w:val="00530177"/>
    <w:rsid w:val="005307B3"/>
    <w:rsid w:val="00531713"/>
    <w:rsid w:val="00531DE1"/>
    <w:rsid w:val="00532952"/>
    <w:rsid w:val="005378F0"/>
    <w:rsid w:val="0054070B"/>
    <w:rsid w:val="00540D0D"/>
    <w:rsid w:val="00543166"/>
    <w:rsid w:val="0054785D"/>
    <w:rsid w:val="00547BF2"/>
    <w:rsid w:val="005503AC"/>
    <w:rsid w:val="00550559"/>
    <w:rsid w:val="00550730"/>
    <w:rsid w:val="005518D4"/>
    <w:rsid w:val="005561FA"/>
    <w:rsid w:val="00557F7B"/>
    <w:rsid w:val="00570A20"/>
    <w:rsid w:val="005725F7"/>
    <w:rsid w:val="00572AB3"/>
    <w:rsid w:val="00582976"/>
    <w:rsid w:val="00582DF1"/>
    <w:rsid w:val="00587B65"/>
    <w:rsid w:val="0059105B"/>
    <w:rsid w:val="00592E4F"/>
    <w:rsid w:val="00595C97"/>
    <w:rsid w:val="005967D3"/>
    <w:rsid w:val="00597666"/>
    <w:rsid w:val="005B0C0F"/>
    <w:rsid w:val="005B1261"/>
    <w:rsid w:val="005B1586"/>
    <w:rsid w:val="005B17F1"/>
    <w:rsid w:val="005B23AE"/>
    <w:rsid w:val="005B3189"/>
    <w:rsid w:val="005B35D9"/>
    <w:rsid w:val="005B3D26"/>
    <w:rsid w:val="005B4258"/>
    <w:rsid w:val="005C0141"/>
    <w:rsid w:val="005C445B"/>
    <w:rsid w:val="005C56E2"/>
    <w:rsid w:val="005C67A8"/>
    <w:rsid w:val="005C7437"/>
    <w:rsid w:val="005D1D24"/>
    <w:rsid w:val="005D656B"/>
    <w:rsid w:val="005E3B45"/>
    <w:rsid w:val="005E7BD3"/>
    <w:rsid w:val="005F4882"/>
    <w:rsid w:val="005F6B8F"/>
    <w:rsid w:val="00600FBF"/>
    <w:rsid w:val="00602C84"/>
    <w:rsid w:val="006056B7"/>
    <w:rsid w:val="00610A46"/>
    <w:rsid w:val="00614F04"/>
    <w:rsid w:val="0061575E"/>
    <w:rsid w:val="00616C4C"/>
    <w:rsid w:val="00624467"/>
    <w:rsid w:val="00625D6C"/>
    <w:rsid w:val="00633C1C"/>
    <w:rsid w:val="006359ED"/>
    <w:rsid w:val="0063760B"/>
    <w:rsid w:val="006419F1"/>
    <w:rsid w:val="00652C76"/>
    <w:rsid w:val="006532F0"/>
    <w:rsid w:val="00654C85"/>
    <w:rsid w:val="00655895"/>
    <w:rsid w:val="006559F5"/>
    <w:rsid w:val="00667C7F"/>
    <w:rsid w:val="006769D3"/>
    <w:rsid w:val="00676B86"/>
    <w:rsid w:val="0067755A"/>
    <w:rsid w:val="006839D6"/>
    <w:rsid w:val="006864E1"/>
    <w:rsid w:val="00687404"/>
    <w:rsid w:val="0069350E"/>
    <w:rsid w:val="006948BE"/>
    <w:rsid w:val="00696629"/>
    <w:rsid w:val="00697513"/>
    <w:rsid w:val="006A33C5"/>
    <w:rsid w:val="006B063F"/>
    <w:rsid w:val="006B11A2"/>
    <w:rsid w:val="006B46B4"/>
    <w:rsid w:val="006B573F"/>
    <w:rsid w:val="006B5A8F"/>
    <w:rsid w:val="006B7E00"/>
    <w:rsid w:val="006C5239"/>
    <w:rsid w:val="006C79C8"/>
    <w:rsid w:val="006D054E"/>
    <w:rsid w:val="006D1132"/>
    <w:rsid w:val="006D1840"/>
    <w:rsid w:val="006D4090"/>
    <w:rsid w:val="006E2A0A"/>
    <w:rsid w:val="006E344A"/>
    <w:rsid w:val="006E34DE"/>
    <w:rsid w:val="006F01BC"/>
    <w:rsid w:val="006F0390"/>
    <w:rsid w:val="00700942"/>
    <w:rsid w:val="00707228"/>
    <w:rsid w:val="00707829"/>
    <w:rsid w:val="00710BBA"/>
    <w:rsid w:val="00712E83"/>
    <w:rsid w:val="00716022"/>
    <w:rsid w:val="0071617C"/>
    <w:rsid w:val="007210F5"/>
    <w:rsid w:val="00727AF1"/>
    <w:rsid w:val="007305EE"/>
    <w:rsid w:val="00742007"/>
    <w:rsid w:val="007434A7"/>
    <w:rsid w:val="0075590E"/>
    <w:rsid w:val="0075790C"/>
    <w:rsid w:val="00757DCE"/>
    <w:rsid w:val="00761D22"/>
    <w:rsid w:val="0076618D"/>
    <w:rsid w:val="00767301"/>
    <w:rsid w:val="007703D6"/>
    <w:rsid w:val="00770468"/>
    <w:rsid w:val="00773569"/>
    <w:rsid w:val="0077449F"/>
    <w:rsid w:val="00781836"/>
    <w:rsid w:val="00781BA8"/>
    <w:rsid w:val="00783B37"/>
    <w:rsid w:val="007906B3"/>
    <w:rsid w:val="007A2A1C"/>
    <w:rsid w:val="007A6065"/>
    <w:rsid w:val="007B3D5B"/>
    <w:rsid w:val="007B4148"/>
    <w:rsid w:val="007B7B00"/>
    <w:rsid w:val="007C05DC"/>
    <w:rsid w:val="007C131F"/>
    <w:rsid w:val="007C17A9"/>
    <w:rsid w:val="007C2E3E"/>
    <w:rsid w:val="007C383C"/>
    <w:rsid w:val="007C5F14"/>
    <w:rsid w:val="007D0F31"/>
    <w:rsid w:val="007D5A7A"/>
    <w:rsid w:val="007D64B5"/>
    <w:rsid w:val="007E4D74"/>
    <w:rsid w:val="007E7BAB"/>
    <w:rsid w:val="007F05EB"/>
    <w:rsid w:val="007F3693"/>
    <w:rsid w:val="007F4A69"/>
    <w:rsid w:val="008022C7"/>
    <w:rsid w:val="00810B98"/>
    <w:rsid w:val="0082196D"/>
    <w:rsid w:val="00823993"/>
    <w:rsid w:val="00830430"/>
    <w:rsid w:val="008309A9"/>
    <w:rsid w:val="008342B5"/>
    <w:rsid w:val="00840543"/>
    <w:rsid w:val="00844B57"/>
    <w:rsid w:val="0084702E"/>
    <w:rsid w:val="00847060"/>
    <w:rsid w:val="0085045D"/>
    <w:rsid w:val="008519CA"/>
    <w:rsid w:val="008534AE"/>
    <w:rsid w:val="00855311"/>
    <w:rsid w:val="008560DD"/>
    <w:rsid w:val="00857AB2"/>
    <w:rsid w:val="00857C8D"/>
    <w:rsid w:val="0086150C"/>
    <w:rsid w:val="0086381A"/>
    <w:rsid w:val="00864478"/>
    <w:rsid w:val="008718DE"/>
    <w:rsid w:val="0087355C"/>
    <w:rsid w:val="008774A2"/>
    <w:rsid w:val="00881617"/>
    <w:rsid w:val="008A032B"/>
    <w:rsid w:val="008A435B"/>
    <w:rsid w:val="008A4F34"/>
    <w:rsid w:val="008A5DDB"/>
    <w:rsid w:val="008B15F5"/>
    <w:rsid w:val="008B2C36"/>
    <w:rsid w:val="008B3E45"/>
    <w:rsid w:val="008B7797"/>
    <w:rsid w:val="008C0D86"/>
    <w:rsid w:val="008C433A"/>
    <w:rsid w:val="008C5206"/>
    <w:rsid w:val="008D3070"/>
    <w:rsid w:val="008D4762"/>
    <w:rsid w:val="008D5281"/>
    <w:rsid w:val="008D6B19"/>
    <w:rsid w:val="008E2CB5"/>
    <w:rsid w:val="008E50DF"/>
    <w:rsid w:val="008E7E27"/>
    <w:rsid w:val="008F1593"/>
    <w:rsid w:val="008F6092"/>
    <w:rsid w:val="008F6950"/>
    <w:rsid w:val="008F7766"/>
    <w:rsid w:val="008F7918"/>
    <w:rsid w:val="008F7F9B"/>
    <w:rsid w:val="0090533C"/>
    <w:rsid w:val="00910D4B"/>
    <w:rsid w:val="00910E42"/>
    <w:rsid w:val="00911A60"/>
    <w:rsid w:val="00911DBD"/>
    <w:rsid w:val="00920438"/>
    <w:rsid w:val="00920911"/>
    <w:rsid w:val="00922252"/>
    <w:rsid w:val="00922590"/>
    <w:rsid w:val="00925E6B"/>
    <w:rsid w:val="00925EC1"/>
    <w:rsid w:val="009302D8"/>
    <w:rsid w:val="0093175A"/>
    <w:rsid w:val="00934615"/>
    <w:rsid w:val="00940E61"/>
    <w:rsid w:val="009439BB"/>
    <w:rsid w:val="0094438E"/>
    <w:rsid w:val="009531D5"/>
    <w:rsid w:val="00954CEE"/>
    <w:rsid w:val="00966EC5"/>
    <w:rsid w:val="0098174A"/>
    <w:rsid w:val="00981E30"/>
    <w:rsid w:val="009831BF"/>
    <w:rsid w:val="00985C4B"/>
    <w:rsid w:val="009872F9"/>
    <w:rsid w:val="009911A1"/>
    <w:rsid w:val="009A133B"/>
    <w:rsid w:val="009A3617"/>
    <w:rsid w:val="009A5A40"/>
    <w:rsid w:val="009A76E6"/>
    <w:rsid w:val="009B004E"/>
    <w:rsid w:val="009B0168"/>
    <w:rsid w:val="009B0E42"/>
    <w:rsid w:val="009B117A"/>
    <w:rsid w:val="009B494F"/>
    <w:rsid w:val="009C2FE2"/>
    <w:rsid w:val="009C310C"/>
    <w:rsid w:val="009C6949"/>
    <w:rsid w:val="009C7EE6"/>
    <w:rsid w:val="009D0E39"/>
    <w:rsid w:val="009D1DD6"/>
    <w:rsid w:val="009D2E76"/>
    <w:rsid w:val="009D2F2E"/>
    <w:rsid w:val="009D39F3"/>
    <w:rsid w:val="009E14AD"/>
    <w:rsid w:val="009E2B72"/>
    <w:rsid w:val="009F55F1"/>
    <w:rsid w:val="009F703F"/>
    <w:rsid w:val="00A02A90"/>
    <w:rsid w:val="00A047B1"/>
    <w:rsid w:val="00A134A1"/>
    <w:rsid w:val="00A134EA"/>
    <w:rsid w:val="00A16CC5"/>
    <w:rsid w:val="00A20194"/>
    <w:rsid w:val="00A21DDA"/>
    <w:rsid w:val="00A235C4"/>
    <w:rsid w:val="00A263E0"/>
    <w:rsid w:val="00A26862"/>
    <w:rsid w:val="00A3005C"/>
    <w:rsid w:val="00A3778B"/>
    <w:rsid w:val="00A468EB"/>
    <w:rsid w:val="00A50805"/>
    <w:rsid w:val="00A538EE"/>
    <w:rsid w:val="00A557C0"/>
    <w:rsid w:val="00A55B8B"/>
    <w:rsid w:val="00A60F1C"/>
    <w:rsid w:val="00A6101B"/>
    <w:rsid w:val="00A62B92"/>
    <w:rsid w:val="00A66BEC"/>
    <w:rsid w:val="00A66F23"/>
    <w:rsid w:val="00A73561"/>
    <w:rsid w:val="00A73784"/>
    <w:rsid w:val="00A73997"/>
    <w:rsid w:val="00A77294"/>
    <w:rsid w:val="00A80A80"/>
    <w:rsid w:val="00A8400E"/>
    <w:rsid w:val="00A84E35"/>
    <w:rsid w:val="00A87BF3"/>
    <w:rsid w:val="00A9229D"/>
    <w:rsid w:val="00AB3B02"/>
    <w:rsid w:val="00AB3CB7"/>
    <w:rsid w:val="00AB4653"/>
    <w:rsid w:val="00AB522F"/>
    <w:rsid w:val="00AC0989"/>
    <w:rsid w:val="00AC4BA8"/>
    <w:rsid w:val="00AC5446"/>
    <w:rsid w:val="00AD3FA3"/>
    <w:rsid w:val="00AD40EB"/>
    <w:rsid w:val="00AD46C3"/>
    <w:rsid w:val="00AE7685"/>
    <w:rsid w:val="00AF1F2D"/>
    <w:rsid w:val="00B00AB0"/>
    <w:rsid w:val="00B0340D"/>
    <w:rsid w:val="00B04E76"/>
    <w:rsid w:val="00B113C2"/>
    <w:rsid w:val="00B12DEA"/>
    <w:rsid w:val="00B13669"/>
    <w:rsid w:val="00B164F7"/>
    <w:rsid w:val="00B22622"/>
    <w:rsid w:val="00B41AFE"/>
    <w:rsid w:val="00B42534"/>
    <w:rsid w:val="00B44CA5"/>
    <w:rsid w:val="00B46B00"/>
    <w:rsid w:val="00B51A88"/>
    <w:rsid w:val="00B56D28"/>
    <w:rsid w:val="00B5739F"/>
    <w:rsid w:val="00B57826"/>
    <w:rsid w:val="00B6303A"/>
    <w:rsid w:val="00B73F41"/>
    <w:rsid w:val="00B83244"/>
    <w:rsid w:val="00B839A6"/>
    <w:rsid w:val="00B85AEE"/>
    <w:rsid w:val="00B8764D"/>
    <w:rsid w:val="00B90FD6"/>
    <w:rsid w:val="00B919B8"/>
    <w:rsid w:val="00B94DF5"/>
    <w:rsid w:val="00B94E01"/>
    <w:rsid w:val="00BA043D"/>
    <w:rsid w:val="00BA193F"/>
    <w:rsid w:val="00BC2361"/>
    <w:rsid w:val="00BC34CC"/>
    <w:rsid w:val="00BD1CB9"/>
    <w:rsid w:val="00BD3C47"/>
    <w:rsid w:val="00BD7BAB"/>
    <w:rsid w:val="00BE06CF"/>
    <w:rsid w:val="00BE0E78"/>
    <w:rsid w:val="00BE27BD"/>
    <w:rsid w:val="00BE2A37"/>
    <w:rsid w:val="00BE4033"/>
    <w:rsid w:val="00BE543D"/>
    <w:rsid w:val="00BE5F2D"/>
    <w:rsid w:val="00BF0F21"/>
    <w:rsid w:val="00BF1F5B"/>
    <w:rsid w:val="00BF47E9"/>
    <w:rsid w:val="00BF5708"/>
    <w:rsid w:val="00BF6673"/>
    <w:rsid w:val="00BF7599"/>
    <w:rsid w:val="00C01F6A"/>
    <w:rsid w:val="00C0377D"/>
    <w:rsid w:val="00C1065D"/>
    <w:rsid w:val="00C11AFE"/>
    <w:rsid w:val="00C16527"/>
    <w:rsid w:val="00C2174D"/>
    <w:rsid w:val="00C223F0"/>
    <w:rsid w:val="00C26A8B"/>
    <w:rsid w:val="00C26CEC"/>
    <w:rsid w:val="00C27AC8"/>
    <w:rsid w:val="00C34069"/>
    <w:rsid w:val="00C35ED2"/>
    <w:rsid w:val="00C37A14"/>
    <w:rsid w:val="00C4177B"/>
    <w:rsid w:val="00C421BF"/>
    <w:rsid w:val="00C55606"/>
    <w:rsid w:val="00C57121"/>
    <w:rsid w:val="00C6149F"/>
    <w:rsid w:val="00C65755"/>
    <w:rsid w:val="00C726EA"/>
    <w:rsid w:val="00C726F2"/>
    <w:rsid w:val="00C83787"/>
    <w:rsid w:val="00C8423B"/>
    <w:rsid w:val="00C86C77"/>
    <w:rsid w:val="00C86F92"/>
    <w:rsid w:val="00C9149A"/>
    <w:rsid w:val="00C937D4"/>
    <w:rsid w:val="00C94DF5"/>
    <w:rsid w:val="00C95DAA"/>
    <w:rsid w:val="00CA0AD2"/>
    <w:rsid w:val="00CA0DEF"/>
    <w:rsid w:val="00CB157F"/>
    <w:rsid w:val="00CB2A7C"/>
    <w:rsid w:val="00CB3B27"/>
    <w:rsid w:val="00CB5842"/>
    <w:rsid w:val="00CB6BBC"/>
    <w:rsid w:val="00CB7E55"/>
    <w:rsid w:val="00CC234E"/>
    <w:rsid w:val="00CC6278"/>
    <w:rsid w:val="00CC71BA"/>
    <w:rsid w:val="00CC7E23"/>
    <w:rsid w:val="00CD0A0B"/>
    <w:rsid w:val="00CD3F04"/>
    <w:rsid w:val="00CE1BE5"/>
    <w:rsid w:val="00CE2EE0"/>
    <w:rsid w:val="00CE2F55"/>
    <w:rsid w:val="00CE4398"/>
    <w:rsid w:val="00CE7466"/>
    <w:rsid w:val="00CF01A3"/>
    <w:rsid w:val="00CF5900"/>
    <w:rsid w:val="00CF7148"/>
    <w:rsid w:val="00D018A5"/>
    <w:rsid w:val="00D018E6"/>
    <w:rsid w:val="00D025ED"/>
    <w:rsid w:val="00D1027E"/>
    <w:rsid w:val="00D15039"/>
    <w:rsid w:val="00D15483"/>
    <w:rsid w:val="00D175AB"/>
    <w:rsid w:val="00D175D6"/>
    <w:rsid w:val="00D23C64"/>
    <w:rsid w:val="00D2654B"/>
    <w:rsid w:val="00D30DF8"/>
    <w:rsid w:val="00D378B6"/>
    <w:rsid w:val="00D42979"/>
    <w:rsid w:val="00D44198"/>
    <w:rsid w:val="00D476E7"/>
    <w:rsid w:val="00D50123"/>
    <w:rsid w:val="00D5460C"/>
    <w:rsid w:val="00D54BC2"/>
    <w:rsid w:val="00D55FCB"/>
    <w:rsid w:val="00D62C23"/>
    <w:rsid w:val="00D717E4"/>
    <w:rsid w:val="00D721CF"/>
    <w:rsid w:val="00D77572"/>
    <w:rsid w:val="00D80C86"/>
    <w:rsid w:val="00D90446"/>
    <w:rsid w:val="00D93B2C"/>
    <w:rsid w:val="00D95674"/>
    <w:rsid w:val="00DA3AE5"/>
    <w:rsid w:val="00DA4032"/>
    <w:rsid w:val="00DA62B7"/>
    <w:rsid w:val="00DA72A3"/>
    <w:rsid w:val="00DB1414"/>
    <w:rsid w:val="00DB29EB"/>
    <w:rsid w:val="00DB4385"/>
    <w:rsid w:val="00DB5BE6"/>
    <w:rsid w:val="00DC7EE8"/>
    <w:rsid w:val="00DD6479"/>
    <w:rsid w:val="00DD78D1"/>
    <w:rsid w:val="00DD7D31"/>
    <w:rsid w:val="00DE0D07"/>
    <w:rsid w:val="00DE567D"/>
    <w:rsid w:val="00DF19BE"/>
    <w:rsid w:val="00DF2037"/>
    <w:rsid w:val="00DF23C4"/>
    <w:rsid w:val="00DF74F9"/>
    <w:rsid w:val="00E00118"/>
    <w:rsid w:val="00E05E95"/>
    <w:rsid w:val="00E101A8"/>
    <w:rsid w:val="00E11D5A"/>
    <w:rsid w:val="00E13762"/>
    <w:rsid w:val="00E13BB3"/>
    <w:rsid w:val="00E16EE4"/>
    <w:rsid w:val="00E210F7"/>
    <w:rsid w:val="00E2126B"/>
    <w:rsid w:val="00E22A83"/>
    <w:rsid w:val="00E263D0"/>
    <w:rsid w:val="00E27BBA"/>
    <w:rsid w:val="00E30BD9"/>
    <w:rsid w:val="00E406E0"/>
    <w:rsid w:val="00E42649"/>
    <w:rsid w:val="00E433EF"/>
    <w:rsid w:val="00E44DC2"/>
    <w:rsid w:val="00E47756"/>
    <w:rsid w:val="00E50CBE"/>
    <w:rsid w:val="00E522E5"/>
    <w:rsid w:val="00E52AD7"/>
    <w:rsid w:val="00E54B89"/>
    <w:rsid w:val="00E54BC0"/>
    <w:rsid w:val="00E61CF5"/>
    <w:rsid w:val="00E61E48"/>
    <w:rsid w:val="00E6669F"/>
    <w:rsid w:val="00E67239"/>
    <w:rsid w:val="00E673B4"/>
    <w:rsid w:val="00E70FF9"/>
    <w:rsid w:val="00E71EA9"/>
    <w:rsid w:val="00E73914"/>
    <w:rsid w:val="00E75449"/>
    <w:rsid w:val="00E824A5"/>
    <w:rsid w:val="00E824DE"/>
    <w:rsid w:val="00E83B1F"/>
    <w:rsid w:val="00E847A4"/>
    <w:rsid w:val="00E90667"/>
    <w:rsid w:val="00E911B6"/>
    <w:rsid w:val="00E93969"/>
    <w:rsid w:val="00E95F1A"/>
    <w:rsid w:val="00EA1A0B"/>
    <w:rsid w:val="00EA1DC2"/>
    <w:rsid w:val="00EA3819"/>
    <w:rsid w:val="00EA5B35"/>
    <w:rsid w:val="00EA64D6"/>
    <w:rsid w:val="00EB54E3"/>
    <w:rsid w:val="00EB56F6"/>
    <w:rsid w:val="00EC52DE"/>
    <w:rsid w:val="00ED286E"/>
    <w:rsid w:val="00ED2C33"/>
    <w:rsid w:val="00ED7E34"/>
    <w:rsid w:val="00EE1085"/>
    <w:rsid w:val="00EE5146"/>
    <w:rsid w:val="00EF0BA6"/>
    <w:rsid w:val="00EF7455"/>
    <w:rsid w:val="00F03B99"/>
    <w:rsid w:val="00F10B87"/>
    <w:rsid w:val="00F12819"/>
    <w:rsid w:val="00F140CF"/>
    <w:rsid w:val="00F20110"/>
    <w:rsid w:val="00F2646F"/>
    <w:rsid w:val="00F26968"/>
    <w:rsid w:val="00F2723B"/>
    <w:rsid w:val="00F36ACC"/>
    <w:rsid w:val="00F374B7"/>
    <w:rsid w:val="00F51AF0"/>
    <w:rsid w:val="00F62525"/>
    <w:rsid w:val="00F677C9"/>
    <w:rsid w:val="00F67C02"/>
    <w:rsid w:val="00F67C29"/>
    <w:rsid w:val="00F723BC"/>
    <w:rsid w:val="00F73451"/>
    <w:rsid w:val="00F73F6C"/>
    <w:rsid w:val="00F77253"/>
    <w:rsid w:val="00F77E55"/>
    <w:rsid w:val="00F80077"/>
    <w:rsid w:val="00F800C6"/>
    <w:rsid w:val="00F81C1A"/>
    <w:rsid w:val="00F82363"/>
    <w:rsid w:val="00F83FD8"/>
    <w:rsid w:val="00F854FB"/>
    <w:rsid w:val="00F869C1"/>
    <w:rsid w:val="00F916A0"/>
    <w:rsid w:val="00F9216B"/>
    <w:rsid w:val="00F94A47"/>
    <w:rsid w:val="00F94D7D"/>
    <w:rsid w:val="00FA5E92"/>
    <w:rsid w:val="00FA7CB7"/>
    <w:rsid w:val="00FB62B4"/>
    <w:rsid w:val="00FC2F4F"/>
    <w:rsid w:val="00FC484F"/>
    <w:rsid w:val="00FC6DA7"/>
    <w:rsid w:val="00FD1B31"/>
    <w:rsid w:val="00FD4D6E"/>
    <w:rsid w:val="00FD525D"/>
    <w:rsid w:val="00FD69C7"/>
    <w:rsid w:val="00FE3D2C"/>
    <w:rsid w:val="00FE7E73"/>
    <w:rsid w:val="00FF11AE"/>
    <w:rsid w:val="00FF2D21"/>
    <w:rsid w:val="00FF3D77"/>
    <w:rsid w:val="00FF7EB6"/>
    <w:rsid w:val="01B51152"/>
    <w:rsid w:val="02142953"/>
    <w:rsid w:val="0226418B"/>
    <w:rsid w:val="02A95A6C"/>
    <w:rsid w:val="032C175B"/>
    <w:rsid w:val="03810F39"/>
    <w:rsid w:val="03BA605F"/>
    <w:rsid w:val="04E23B3B"/>
    <w:rsid w:val="05120734"/>
    <w:rsid w:val="05C21D21"/>
    <w:rsid w:val="06000E04"/>
    <w:rsid w:val="060232EB"/>
    <w:rsid w:val="06057AAD"/>
    <w:rsid w:val="071F68FE"/>
    <w:rsid w:val="08213F42"/>
    <w:rsid w:val="09202177"/>
    <w:rsid w:val="09742232"/>
    <w:rsid w:val="09F50B20"/>
    <w:rsid w:val="09F7413A"/>
    <w:rsid w:val="0AED3E56"/>
    <w:rsid w:val="0B802669"/>
    <w:rsid w:val="0C8C4159"/>
    <w:rsid w:val="0D02185E"/>
    <w:rsid w:val="0D0D1CC4"/>
    <w:rsid w:val="0D4D238E"/>
    <w:rsid w:val="0D637CF3"/>
    <w:rsid w:val="0DB5421B"/>
    <w:rsid w:val="0DD1534A"/>
    <w:rsid w:val="0DFD5DFA"/>
    <w:rsid w:val="0E1557EE"/>
    <w:rsid w:val="0EEB6327"/>
    <w:rsid w:val="0F91426B"/>
    <w:rsid w:val="11160071"/>
    <w:rsid w:val="113605CA"/>
    <w:rsid w:val="123D7217"/>
    <w:rsid w:val="12656B89"/>
    <w:rsid w:val="12887A4A"/>
    <w:rsid w:val="13B91C00"/>
    <w:rsid w:val="14CE5D3D"/>
    <w:rsid w:val="15001C38"/>
    <w:rsid w:val="19D15118"/>
    <w:rsid w:val="1A0A682E"/>
    <w:rsid w:val="1A0F021A"/>
    <w:rsid w:val="1A16245A"/>
    <w:rsid w:val="1BB6600D"/>
    <w:rsid w:val="1C850142"/>
    <w:rsid w:val="1CDE6588"/>
    <w:rsid w:val="1D62223E"/>
    <w:rsid w:val="1E1A009C"/>
    <w:rsid w:val="1EF63B85"/>
    <w:rsid w:val="1F4C57C5"/>
    <w:rsid w:val="1F94185C"/>
    <w:rsid w:val="204D7F99"/>
    <w:rsid w:val="21A321F8"/>
    <w:rsid w:val="21B74631"/>
    <w:rsid w:val="223646DA"/>
    <w:rsid w:val="22837C68"/>
    <w:rsid w:val="22B23084"/>
    <w:rsid w:val="24103366"/>
    <w:rsid w:val="24A82964"/>
    <w:rsid w:val="24BC5324"/>
    <w:rsid w:val="24F4543A"/>
    <w:rsid w:val="25E971E8"/>
    <w:rsid w:val="27DF2E2D"/>
    <w:rsid w:val="28AD7F63"/>
    <w:rsid w:val="295E3B0A"/>
    <w:rsid w:val="29836908"/>
    <w:rsid w:val="29AE1CD0"/>
    <w:rsid w:val="29B56859"/>
    <w:rsid w:val="2A1A60FF"/>
    <w:rsid w:val="2A8C5395"/>
    <w:rsid w:val="2AC81D3E"/>
    <w:rsid w:val="2AF60ADF"/>
    <w:rsid w:val="2B4E6124"/>
    <w:rsid w:val="2B8B3087"/>
    <w:rsid w:val="2BE93C31"/>
    <w:rsid w:val="2C0D11B6"/>
    <w:rsid w:val="2CF94B7A"/>
    <w:rsid w:val="2D0B0966"/>
    <w:rsid w:val="2DCC1827"/>
    <w:rsid w:val="2E0F2C4D"/>
    <w:rsid w:val="2E732440"/>
    <w:rsid w:val="2E860762"/>
    <w:rsid w:val="2EF05E0F"/>
    <w:rsid w:val="2F997AAC"/>
    <w:rsid w:val="2FE77176"/>
    <w:rsid w:val="301B27E2"/>
    <w:rsid w:val="304A0F44"/>
    <w:rsid w:val="3173516F"/>
    <w:rsid w:val="31925B34"/>
    <w:rsid w:val="31CE204A"/>
    <w:rsid w:val="32493DCC"/>
    <w:rsid w:val="32E60274"/>
    <w:rsid w:val="32FCF63F"/>
    <w:rsid w:val="33110C37"/>
    <w:rsid w:val="33FF8697"/>
    <w:rsid w:val="34872BF9"/>
    <w:rsid w:val="350F31FD"/>
    <w:rsid w:val="35633EE0"/>
    <w:rsid w:val="37166A7C"/>
    <w:rsid w:val="37FFC28C"/>
    <w:rsid w:val="38212417"/>
    <w:rsid w:val="383D6F71"/>
    <w:rsid w:val="3885423F"/>
    <w:rsid w:val="398B17B7"/>
    <w:rsid w:val="39CF1332"/>
    <w:rsid w:val="39F33EAB"/>
    <w:rsid w:val="3B9964CE"/>
    <w:rsid w:val="3C4D305C"/>
    <w:rsid w:val="3CDBF22D"/>
    <w:rsid w:val="3CDC5504"/>
    <w:rsid w:val="3D1E3F0A"/>
    <w:rsid w:val="3DD769CC"/>
    <w:rsid w:val="3ED81562"/>
    <w:rsid w:val="3F1E3AC9"/>
    <w:rsid w:val="3F4B541D"/>
    <w:rsid w:val="3F6D0937"/>
    <w:rsid w:val="40666E54"/>
    <w:rsid w:val="42226672"/>
    <w:rsid w:val="42944624"/>
    <w:rsid w:val="436B215F"/>
    <w:rsid w:val="43DC5B39"/>
    <w:rsid w:val="43FFB9D9"/>
    <w:rsid w:val="4429787F"/>
    <w:rsid w:val="44E50B68"/>
    <w:rsid w:val="45585597"/>
    <w:rsid w:val="45B72003"/>
    <w:rsid w:val="46032897"/>
    <w:rsid w:val="469B18B0"/>
    <w:rsid w:val="46BC170B"/>
    <w:rsid w:val="47E14EC2"/>
    <w:rsid w:val="47E413F3"/>
    <w:rsid w:val="495E562A"/>
    <w:rsid w:val="4971269C"/>
    <w:rsid w:val="4BC701D4"/>
    <w:rsid w:val="4D9B3128"/>
    <w:rsid w:val="4DC76136"/>
    <w:rsid w:val="4DFDB7FC"/>
    <w:rsid w:val="4EDF3B74"/>
    <w:rsid w:val="4FF53C57"/>
    <w:rsid w:val="507A42B2"/>
    <w:rsid w:val="50817599"/>
    <w:rsid w:val="51C801E8"/>
    <w:rsid w:val="51C944FC"/>
    <w:rsid w:val="51FF6103"/>
    <w:rsid w:val="52D677FB"/>
    <w:rsid w:val="52F42484"/>
    <w:rsid w:val="530E5681"/>
    <w:rsid w:val="53CC69B8"/>
    <w:rsid w:val="54070D72"/>
    <w:rsid w:val="54157A48"/>
    <w:rsid w:val="54394042"/>
    <w:rsid w:val="54AF466E"/>
    <w:rsid w:val="54C30233"/>
    <w:rsid w:val="55977C24"/>
    <w:rsid w:val="57023E37"/>
    <w:rsid w:val="5750615E"/>
    <w:rsid w:val="57DA1E25"/>
    <w:rsid w:val="58CA1733"/>
    <w:rsid w:val="5A262D5A"/>
    <w:rsid w:val="5C5A41FC"/>
    <w:rsid w:val="5CED2186"/>
    <w:rsid w:val="5CF055C9"/>
    <w:rsid w:val="5D7D23DA"/>
    <w:rsid w:val="5E4F208B"/>
    <w:rsid w:val="5E805FC9"/>
    <w:rsid w:val="5F67432E"/>
    <w:rsid w:val="5F7D3340"/>
    <w:rsid w:val="5FAF9243"/>
    <w:rsid w:val="605D7344"/>
    <w:rsid w:val="610B5A5F"/>
    <w:rsid w:val="62013750"/>
    <w:rsid w:val="63090863"/>
    <w:rsid w:val="636F23E2"/>
    <w:rsid w:val="63CE2B2C"/>
    <w:rsid w:val="64301B5E"/>
    <w:rsid w:val="655B2E69"/>
    <w:rsid w:val="65710D20"/>
    <w:rsid w:val="663B5668"/>
    <w:rsid w:val="66F353B7"/>
    <w:rsid w:val="66F46152"/>
    <w:rsid w:val="67133AB5"/>
    <w:rsid w:val="67F605DC"/>
    <w:rsid w:val="682302A0"/>
    <w:rsid w:val="68370E58"/>
    <w:rsid w:val="68756089"/>
    <w:rsid w:val="69693B1C"/>
    <w:rsid w:val="69B9411C"/>
    <w:rsid w:val="6A2F17A6"/>
    <w:rsid w:val="6AFC3C89"/>
    <w:rsid w:val="6BA908F6"/>
    <w:rsid w:val="6CC005FB"/>
    <w:rsid w:val="6CF835CD"/>
    <w:rsid w:val="6DD74175"/>
    <w:rsid w:val="6F6F31C9"/>
    <w:rsid w:val="703A5BE3"/>
    <w:rsid w:val="703E34CF"/>
    <w:rsid w:val="7057BE1B"/>
    <w:rsid w:val="71045BFC"/>
    <w:rsid w:val="72F00E04"/>
    <w:rsid w:val="73FF9E9A"/>
    <w:rsid w:val="7417334C"/>
    <w:rsid w:val="75096248"/>
    <w:rsid w:val="75EDC907"/>
    <w:rsid w:val="763D1AB9"/>
    <w:rsid w:val="76CA78BA"/>
    <w:rsid w:val="77BF0D46"/>
    <w:rsid w:val="78D67B04"/>
    <w:rsid w:val="79BFAFCF"/>
    <w:rsid w:val="79F4AD93"/>
    <w:rsid w:val="7A46503E"/>
    <w:rsid w:val="7B6C27E0"/>
    <w:rsid w:val="7BF3D6CE"/>
    <w:rsid w:val="7DDF4B1D"/>
    <w:rsid w:val="7E6F1A50"/>
    <w:rsid w:val="7E7C7F1A"/>
    <w:rsid w:val="7EAC2638"/>
    <w:rsid w:val="7EBA592E"/>
    <w:rsid w:val="7EBBC32F"/>
    <w:rsid w:val="7EBFCE33"/>
    <w:rsid w:val="7EE05DF4"/>
    <w:rsid w:val="7F15E6DA"/>
    <w:rsid w:val="7FB3B9AC"/>
    <w:rsid w:val="7FFFA08B"/>
    <w:rsid w:val="95B79D53"/>
    <w:rsid w:val="97D7711B"/>
    <w:rsid w:val="9D5F565E"/>
    <w:rsid w:val="9FC4CDDA"/>
    <w:rsid w:val="AD33BDC9"/>
    <w:rsid w:val="BD057882"/>
    <w:rsid w:val="BDFA0B6C"/>
    <w:rsid w:val="BFCB41DD"/>
    <w:rsid w:val="BFEF5ED8"/>
    <w:rsid w:val="BFFDC3C3"/>
    <w:rsid w:val="BFFE30A6"/>
    <w:rsid w:val="BFFE41C2"/>
    <w:rsid w:val="CBF70496"/>
    <w:rsid w:val="CCDFEAE0"/>
    <w:rsid w:val="D37D73B9"/>
    <w:rsid w:val="D5FF48DC"/>
    <w:rsid w:val="DDCB33CC"/>
    <w:rsid w:val="DF7FDC02"/>
    <w:rsid w:val="DFBC341C"/>
    <w:rsid w:val="DFF7181E"/>
    <w:rsid w:val="E3BFBA49"/>
    <w:rsid w:val="E7775CCA"/>
    <w:rsid w:val="E7BF0FAF"/>
    <w:rsid w:val="EF7D016B"/>
    <w:rsid w:val="EF7F0A85"/>
    <w:rsid w:val="F3DE728C"/>
    <w:rsid w:val="F75718CE"/>
    <w:rsid w:val="F77F6036"/>
    <w:rsid w:val="F9BF1B8F"/>
    <w:rsid w:val="FAFD78A4"/>
    <w:rsid w:val="FD7F10CF"/>
    <w:rsid w:val="FDFFA1C8"/>
    <w:rsid w:val="FE3ECA44"/>
    <w:rsid w:val="FE7945AD"/>
    <w:rsid w:val="FEBF104D"/>
    <w:rsid w:val="FFBCABE4"/>
    <w:rsid w:val="FFF6C5C3"/>
    <w:rsid w:val="FFF9E777"/>
    <w:rsid w:val="FFFB15DA"/>
    <w:rsid w:val="FFFF97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
    <w:unhideWhenUsed/>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74"/>
    <w:unhideWhenUsed/>
    <w:qFormat/>
    <w:uiPriority w:val="0"/>
    <w:pPr>
      <w:keepNext/>
      <w:keepLines/>
      <w:spacing w:before="260" w:after="260" w:line="413"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unhideWhenUsed/>
    <w:qFormat/>
    <w:uiPriority w:val="0"/>
    <w:rPr>
      <w:rFonts w:ascii="Arial" w:hAnsi="Arial" w:eastAsia="黑体"/>
      <w:sz w:val="20"/>
      <w:szCs w:val="21"/>
    </w:rPr>
  </w:style>
  <w:style w:type="paragraph" w:styleId="7">
    <w:name w:val="annotation text"/>
    <w:basedOn w:val="1"/>
    <w:qFormat/>
    <w:uiPriority w:val="0"/>
    <w:pPr>
      <w:jc w:val="left"/>
    </w:pPr>
  </w:style>
  <w:style w:type="paragraph" w:styleId="8">
    <w:name w:val="Body Text"/>
    <w:basedOn w:val="1"/>
    <w:link w:val="31"/>
    <w:qFormat/>
    <w:uiPriority w:val="99"/>
    <w:pPr>
      <w:spacing w:after="120"/>
    </w:pPr>
  </w:style>
  <w:style w:type="paragraph" w:styleId="9">
    <w:name w:val="Body Text Indent"/>
    <w:basedOn w:val="1"/>
    <w:link w:val="32"/>
    <w:qFormat/>
    <w:uiPriority w:val="99"/>
    <w:pPr>
      <w:spacing w:after="120"/>
      <w:ind w:left="420" w:leftChars="200"/>
    </w:pPr>
  </w:style>
  <w:style w:type="paragraph" w:styleId="10">
    <w:name w:val="toc 3"/>
    <w:basedOn w:val="1"/>
    <w:next w:val="1"/>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1">
    <w:name w:val="Plain Text"/>
    <w:basedOn w:val="1"/>
    <w:link w:val="33"/>
    <w:qFormat/>
    <w:uiPriority w:val="0"/>
    <w:rPr>
      <w:rFonts w:ascii="宋体" w:hAnsi="Courier New"/>
    </w:rPr>
  </w:style>
  <w:style w:type="paragraph" w:styleId="12">
    <w:name w:val="Date"/>
    <w:basedOn w:val="1"/>
    <w:next w:val="1"/>
    <w:link w:val="34"/>
    <w:qFormat/>
    <w:uiPriority w:val="99"/>
    <w:pPr>
      <w:ind w:left="100" w:leftChars="2500"/>
    </w:pPr>
  </w:style>
  <w:style w:type="paragraph" w:styleId="13">
    <w:name w:val="Balloon Text"/>
    <w:basedOn w:val="1"/>
    <w:link w:val="35"/>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spacing w:after="100" w:line="259" w:lineRule="auto"/>
      <w:jc w:val="left"/>
    </w:pPr>
    <w:rPr>
      <w:rFonts w:asciiTheme="minorHAnsi" w:hAnsiTheme="minorHAnsi" w:eastAsiaTheme="minorEastAsia"/>
      <w:kern w:val="0"/>
      <w:sz w:val="22"/>
      <w:szCs w:val="22"/>
    </w:rPr>
  </w:style>
  <w:style w:type="paragraph" w:styleId="17">
    <w:name w:val="Body Text Indent 3"/>
    <w:basedOn w:val="1"/>
    <w:link w:val="38"/>
    <w:qFormat/>
    <w:uiPriority w:val="99"/>
    <w:pPr>
      <w:spacing w:after="120"/>
      <w:ind w:left="420" w:leftChars="200"/>
    </w:pPr>
    <w:rPr>
      <w:sz w:val="16"/>
      <w:szCs w:val="16"/>
    </w:rPr>
  </w:style>
  <w:style w:type="paragraph" w:styleId="18">
    <w:name w:val="toc 2"/>
    <w:basedOn w:val="1"/>
    <w:next w:val="1"/>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9">
    <w:name w:val="Normal (Web)"/>
    <w:basedOn w:val="1"/>
    <w:qFormat/>
    <w:uiPriority w:val="99"/>
    <w:pPr>
      <w:widowControl/>
      <w:spacing w:before="100" w:beforeAutospacing="1" w:after="100" w:afterAutospacing="1"/>
      <w:jc w:val="left"/>
    </w:pPr>
    <w:rPr>
      <w:kern w:val="0"/>
      <w:sz w:val="24"/>
    </w:rPr>
  </w:style>
  <w:style w:type="paragraph" w:styleId="20">
    <w:name w:val="annotation subject"/>
    <w:basedOn w:val="7"/>
    <w:next w:val="7"/>
    <w:qFormat/>
    <w:uiPriority w:val="0"/>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basedOn w:val="23"/>
    <w:qFormat/>
    <w:uiPriority w:val="99"/>
    <w:rPr>
      <w:color w:val="954F72" w:themeColor="followedHyperlink"/>
      <w:u w:val="single"/>
      <w14:textFill>
        <w14:solidFill>
          <w14:schemeClr w14:val="folHlink"/>
        </w14:solidFill>
      </w14:textFill>
    </w:rPr>
  </w:style>
  <w:style w:type="character" w:styleId="27">
    <w:name w:val="Hyperlink"/>
    <w:basedOn w:val="23"/>
    <w:qFormat/>
    <w:uiPriority w:val="0"/>
    <w:rPr>
      <w:rFonts w:hint="default" w:ascii="Times New Roman" w:hAnsi="Times New Roman" w:cs="Times New Roman"/>
      <w:color w:val="0000FF"/>
      <w:u w:val="single"/>
    </w:rPr>
  </w:style>
  <w:style w:type="character" w:styleId="28">
    <w:name w:val="annotation reference"/>
    <w:qFormat/>
    <w:uiPriority w:val="0"/>
    <w:rPr>
      <w:sz w:val="21"/>
      <w:szCs w:val="21"/>
    </w:rPr>
  </w:style>
  <w:style w:type="character" w:customStyle="1" w:styleId="29">
    <w:name w:val="标题 1 Char"/>
    <w:basedOn w:val="23"/>
    <w:link w:val="2"/>
    <w:qFormat/>
    <w:uiPriority w:val="9"/>
    <w:rPr>
      <w:b/>
      <w:bCs/>
      <w:kern w:val="44"/>
      <w:sz w:val="44"/>
      <w:szCs w:val="44"/>
    </w:rPr>
  </w:style>
  <w:style w:type="character" w:customStyle="1" w:styleId="30">
    <w:name w:val="标题 2 Char"/>
    <w:basedOn w:val="23"/>
    <w:link w:val="3"/>
    <w:qFormat/>
    <w:uiPriority w:val="99"/>
    <w:rPr>
      <w:rFonts w:ascii="宋体" w:hAnsi="宋体" w:cs="宋体"/>
      <w:b/>
      <w:bCs/>
      <w:sz w:val="36"/>
      <w:szCs w:val="36"/>
    </w:rPr>
  </w:style>
  <w:style w:type="character" w:customStyle="1" w:styleId="31">
    <w:name w:val="正文文本 Char"/>
    <w:basedOn w:val="23"/>
    <w:link w:val="8"/>
    <w:qFormat/>
    <w:uiPriority w:val="99"/>
    <w:rPr>
      <w:kern w:val="2"/>
      <w:sz w:val="21"/>
      <w:szCs w:val="24"/>
    </w:rPr>
  </w:style>
  <w:style w:type="character" w:customStyle="1" w:styleId="32">
    <w:name w:val="正文文本缩进 Char"/>
    <w:basedOn w:val="23"/>
    <w:link w:val="9"/>
    <w:qFormat/>
    <w:uiPriority w:val="99"/>
    <w:rPr>
      <w:kern w:val="2"/>
      <w:sz w:val="21"/>
      <w:szCs w:val="24"/>
    </w:rPr>
  </w:style>
  <w:style w:type="character" w:customStyle="1" w:styleId="33">
    <w:name w:val="纯文本 Char1"/>
    <w:link w:val="11"/>
    <w:qFormat/>
    <w:uiPriority w:val="0"/>
    <w:rPr>
      <w:rFonts w:ascii="宋体" w:hAnsi="Courier New" w:eastAsia="宋体"/>
      <w:kern w:val="2"/>
      <w:sz w:val="21"/>
      <w:lang w:val="en-US" w:eastAsia="zh-CN" w:bidi="ar-SA"/>
    </w:rPr>
  </w:style>
  <w:style w:type="character" w:customStyle="1" w:styleId="34">
    <w:name w:val="日期 Char"/>
    <w:basedOn w:val="23"/>
    <w:link w:val="12"/>
    <w:qFormat/>
    <w:uiPriority w:val="99"/>
    <w:rPr>
      <w:kern w:val="2"/>
      <w:sz w:val="21"/>
      <w:szCs w:val="24"/>
    </w:rPr>
  </w:style>
  <w:style w:type="character" w:customStyle="1" w:styleId="35">
    <w:name w:val="批注框文本 Char"/>
    <w:basedOn w:val="23"/>
    <w:link w:val="13"/>
    <w:qFormat/>
    <w:uiPriority w:val="99"/>
    <w:rPr>
      <w:kern w:val="2"/>
      <w:sz w:val="18"/>
      <w:szCs w:val="18"/>
    </w:rPr>
  </w:style>
  <w:style w:type="character" w:customStyle="1" w:styleId="36">
    <w:name w:val="页脚 Char"/>
    <w:basedOn w:val="23"/>
    <w:link w:val="14"/>
    <w:qFormat/>
    <w:uiPriority w:val="99"/>
    <w:rPr>
      <w:kern w:val="2"/>
      <w:sz w:val="18"/>
      <w:szCs w:val="18"/>
    </w:rPr>
  </w:style>
  <w:style w:type="character" w:customStyle="1" w:styleId="37">
    <w:name w:val="页眉 Char"/>
    <w:link w:val="15"/>
    <w:qFormat/>
    <w:uiPriority w:val="99"/>
    <w:rPr>
      <w:rFonts w:eastAsia="宋体"/>
      <w:kern w:val="2"/>
      <w:sz w:val="18"/>
      <w:szCs w:val="18"/>
      <w:lang w:val="en-US" w:eastAsia="zh-CN" w:bidi="ar-SA"/>
    </w:rPr>
  </w:style>
  <w:style w:type="character" w:customStyle="1" w:styleId="38">
    <w:name w:val="正文文本缩进 3 Char"/>
    <w:basedOn w:val="23"/>
    <w:link w:val="17"/>
    <w:qFormat/>
    <w:uiPriority w:val="0"/>
    <w:rPr>
      <w:kern w:val="2"/>
      <w:sz w:val="16"/>
      <w:szCs w:val="16"/>
    </w:rPr>
  </w:style>
  <w:style w:type="character" w:customStyle="1" w:styleId="39">
    <w:name w:val="apple-style-span"/>
    <w:basedOn w:val="23"/>
    <w:qFormat/>
    <w:uiPriority w:val="0"/>
  </w:style>
  <w:style w:type="character" w:customStyle="1" w:styleId="40">
    <w:name w:val="附件 Char Char Char"/>
    <w:qFormat/>
    <w:uiPriority w:val="0"/>
    <w:rPr>
      <w:rFonts w:eastAsia="方正黑体简体"/>
      <w:kern w:val="2"/>
      <w:sz w:val="28"/>
      <w:szCs w:val="28"/>
      <w:lang w:val="en-US" w:eastAsia="zh-CN" w:bidi="ar-SA"/>
    </w:rPr>
  </w:style>
  <w:style w:type="character" w:customStyle="1" w:styleId="41">
    <w:name w:val="附件 Char Char"/>
    <w:link w:val="42"/>
    <w:qFormat/>
    <w:uiPriority w:val="0"/>
    <w:rPr>
      <w:rFonts w:eastAsia="方正黑体简体"/>
      <w:kern w:val="2"/>
      <w:sz w:val="28"/>
      <w:szCs w:val="28"/>
      <w:lang w:val="en-US" w:eastAsia="zh-CN" w:bidi="ar-SA"/>
    </w:rPr>
  </w:style>
  <w:style w:type="paragraph" w:customStyle="1" w:styleId="42">
    <w:name w:val="附件"/>
    <w:basedOn w:val="1"/>
    <w:link w:val="41"/>
    <w:qFormat/>
    <w:uiPriority w:val="0"/>
    <w:pPr>
      <w:spacing w:line="362" w:lineRule="exact"/>
    </w:pPr>
    <w:rPr>
      <w:rFonts w:eastAsia="方正黑体简体"/>
      <w:sz w:val="28"/>
      <w:szCs w:val="28"/>
    </w:rPr>
  </w:style>
  <w:style w:type="character" w:customStyle="1" w:styleId="43">
    <w:name w:val="Char Char1"/>
    <w:qFormat/>
    <w:uiPriority w:val="0"/>
    <w:rPr>
      <w:kern w:val="2"/>
      <w:sz w:val="18"/>
      <w:szCs w:val="18"/>
    </w:rPr>
  </w:style>
  <w:style w:type="character" w:customStyle="1" w:styleId="44">
    <w:name w:val="Char Char5"/>
    <w:qFormat/>
    <w:uiPriority w:val="0"/>
    <w:rPr>
      <w:rFonts w:eastAsia="宋体"/>
      <w:kern w:val="2"/>
      <w:sz w:val="18"/>
      <w:szCs w:val="18"/>
      <w:lang w:val="en-US" w:eastAsia="zh-CN" w:bidi="ar-SA"/>
    </w:rPr>
  </w:style>
  <w:style w:type="character" w:customStyle="1" w:styleId="45">
    <w:name w:val="表内容行距 Char Char"/>
    <w:link w:val="46"/>
    <w:qFormat/>
    <w:uiPriority w:val="0"/>
    <w:rPr>
      <w:rFonts w:eastAsia="方正书宋简体"/>
      <w:kern w:val="2"/>
      <w:sz w:val="21"/>
      <w:szCs w:val="21"/>
      <w:lang w:val="en-US" w:eastAsia="zh-CN" w:bidi="ar-SA"/>
    </w:rPr>
  </w:style>
  <w:style w:type="paragraph" w:customStyle="1" w:styleId="46">
    <w:name w:val="表内容行距"/>
    <w:basedOn w:val="1"/>
    <w:link w:val="45"/>
    <w:qFormat/>
    <w:uiPriority w:val="0"/>
    <w:pPr>
      <w:spacing w:line="340" w:lineRule="exact"/>
      <w:ind w:firstLine="100" w:firstLineChars="100"/>
    </w:pPr>
    <w:rPr>
      <w:rFonts w:eastAsia="方正书宋简体"/>
      <w:szCs w:val="21"/>
    </w:rPr>
  </w:style>
  <w:style w:type="character" w:customStyle="1" w:styleId="47">
    <w:name w:val="Plain Text Char"/>
    <w:qFormat/>
    <w:uiPriority w:val="0"/>
    <w:rPr>
      <w:rFonts w:ascii="宋体" w:hAnsi="Courier New" w:eastAsia="宋体"/>
      <w:kern w:val="2"/>
      <w:sz w:val="21"/>
      <w:lang w:val="en-US" w:eastAsia="zh-CN" w:bidi="ar-SA"/>
    </w:rPr>
  </w:style>
  <w:style w:type="character" w:customStyle="1" w:styleId="48">
    <w:name w:val="表内容行距 Char Char Char"/>
    <w:qFormat/>
    <w:uiPriority w:val="0"/>
    <w:rPr>
      <w:rFonts w:eastAsia="方正书宋简体"/>
      <w:kern w:val="2"/>
      <w:sz w:val="21"/>
      <w:szCs w:val="21"/>
      <w:lang w:val="en-US" w:eastAsia="zh-CN" w:bidi="ar-SA"/>
    </w:rPr>
  </w:style>
  <w:style w:type="paragraph" w:customStyle="1" w:styleId="49">
    <w:name w:val="Char1"/>
    <w:basedOn w:val="1"/>
    <w:qFormat/>
    <w:uiPriority w:val="99"/>
    <w:pPr>
      <w:spacing w:line="360" w:lineRule="auto"/>
    </w:pPr>
  </w:style>
  <w:style w:type="paragraph" w:customStyle="1" w:styleId="50">
    <w:name w:val="样式2"/>
    <w:basedOn w:val="2"/>
    <w:qFormat/>
    <w:uiPriority w:val="0"/>
    <w:rPr>
      <w:rFonts w:ascii="Times" w:hAnsi="Times" w:eastAsia="仿宋_GB2312"/>
      <w:b w:val="0"/>
      <w:snapToGrid w:val="0"/>
      <w:sz w:val="32"/>
      <w:szCs w:val="32"/>
    </w:rPr>
  </w:style>
  <w:style w:type="paragraph" w:customStyle="1" w:styleId="51">
    <w:name w:val="一、"/>
    <w:basedOn w:val="1"/>
    <w:qFormat/>
    <w:uiPriority w:val="0"/>
    <w:pPr>
      <w:jc w:val="center"/>
    </w:pPr>
    <w:rPr>
      <w:sz w:val="18"/>
      <w:szCs w:val="20"/>
    </w:rPr>
  </w:style>
  <w:style w:type="paragraph" w:customStyle="1" w:styleId="52">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53">
    <w:name w:val="列出段落1"/>
    <w:basedOn w:val="1"/>
    <w:qFormat/>
    <w:uiPriority w:val="1"/>
    <w:pPr>
      <w:ind w:firstLine="420" w:firstLineChars="200"/>
    </w:pPr>
    <w:rPr>
      <w:szCs w:val="21"/>
    </w:rPr>
  </w:style>
  <w:style w:type="paragraph" w:customStyle="1" w:styleId="54">
    <w:name w:val="样式3"/>
    <w:basedOn w:val="2"/>
    <w:qFormat/>
    <w:uiPriority w:val="0"/>
    <w:rPr>
      <w:rFonts w:eastAsia="仿宋_GB2312"/>
      <w:b w:val="0"/>
      <w:snapToGrid w:val="0"/>
      <w:sz w:val="32"/>
    </w:rPr>
  </w:style>
  <w:style w:type="paragraph" w:customStyle="1" w:styleId="55">
    <w:name w:val="表内容"/>
    <w:basedOn w:val="1"/>
    <w:qFormat/>
    <w:uiPriority w:val="0"/>
    <w:pPr>
      <w:spacing w:line="240" w:lineRule="exact"/>
      <w:ind w:firstLine="100" w:firstLineChars="100"/>
    </w:pPr>
    <w:rPr>
      <w:rFonts w:eastAsia="方正书宋简体"/>
      <w:szCs w:val="21"/>
    </w:rPr>
  </w:style>
  <w:style w:type="paragraph" w:customStyle="1" w:styleId="56">
    <w:name w:val="Char11"/>
    <w:basedOn w:val="1"/>
    <w:qFormat/>
    <w:uiPriority w:val="0"/>
    <w:pPr>
      <w:spacing w:line="360" w:lineRule="auto"/>
    </w:pPr>
  </w:style>
  <w:style w:type="paragraph" w:customStyle="1" w:styleId="57">
    <w:name w:val="Char4 Char Char Char"/>
    <w:basedOn w:val="1"/>
    <w:qFormat/>
    <w:uiPriority w:val="0"/>
    <w:rPr>
      <w:rFonts w:ascii="Tahoma" w:hAnsi="Tahoma"/>
      <w:sz w:val="24"/>
      <w:szCs w:val="20"/>
    </w:rPr>
  </w:style>
  <w:style w:type="paragraph" w:customStyle="1" w:styleId="58">
    <w:name w:val="页眉 New"/>
    <w:basedOn w:val="52"/>
    <w:qFormat/>
    <w:uiPriority w:val="0"/>
    <w:pPr>
      <w:pBdr>
        <w:bottom w:val="single" w:color="auto" w:sz="6" w:space="1"/>
      </w:pBdr>
      <w:tabs>
        <w:tab w:val="center" w:pos="4153"/>
        <w:tab w:val="right" w:pos="8306"/>
      </w:tabs>
      <w:snapToGrid w:val="0"/>
      <w:jc w:val="center"/>
    </w:pPr>
    <w:rPr>
      <w:rFonts w:cs="Times New Roman"/>
      <w:sz w:val="18"/>
      <w:szCs w:val="18"/>
    </w:rPr>
  </w:style>
  <w:style w:type="paragraph" w:customStyle="1" w:styleId="59">
    <w:name w:val="样式5"/>
    <w:basedOn w:val="1"/>
    <w:qFormat/>
    <w:uiPriority w:val="0"/>
    <w:pPr>
      <w:adjustRightInd w:val="0"/>
      <w:snapToGrid w:val="0"/>
      <w:spacing w:line="310" w:lineRule="atLeast"/>
      <w:ind w:firstLine="425"/>
    </w:pPr>
    <w:rPr>
      <w:rFonts w:ascii="Arial" w:hAnsi="Arial" w:eastAsia="黑体"/>
      <w:szCs w:val="20"/>
    </w:rPr>
  </w:style>
  <w:style w:type="paragraph" w:styleId="60">
    <w:name w:val="List Paragraph"/>
    <w:basedOn w:val="1"/>
    <w:qFormat/>
    <w:uiPriority w:val="34"/>
    <w:pPr>
      <w:ind w:firstLine="420" w:firstLineChars="200"/>
    </w:pPr>
    <w:rPr>
      <w:rFonts w:ascii="Calibri" w:hAnsi="Calibri"/>
    </w:rPr>
  </w:style>
  <w:style w:type="paragraph" w:customStyle="1" w:styleId="61">
    <w:name w:val="表"/>
    <w:qFormat/>
    <w:uiPriority w:val="0"/>
    <w:pPr>
      <w:adjustRightInd w:val="0"/>
      <w:snapToGrid w:val="0"/>
      <w:jc w:val="center"/>
    </w:pPr>
    <w:rPr>
      <w:rFonts w:ascii="Arial" w:hAnsi="Arial" w:eastAsia="仿宋_GB2312" w:cs="Times New Roman"/>
      <w:kern w:val="2"/>
      <w:sz w:val="21"/>
      <w:szCs w:val="22"/>
      <w:lang w:val="en-US" w:eastAsia="zh-CN" w:bidi="ar-SA"/>
    </w:rPr>
  </w:style>
  <w:style w:type="paragraph" w:customStyle="1" w:styleId="62">
    <w:name w:val="大纲正文"/>
    <w:basedOn w:val="1"/>
    <w:qFormat/>
    <w:uiPriority w:val="0"/>
    <w:pPr>
      <w:spacing w:line="362" w:lineRule="exact"/>
      <w:ind w:firstLine="480" w:firstLineChars="200"/>
    </w:pPr>
    <w:rPr>
      <w:sz w:val="24"/>
      <w:szCs w:val="20"/>
    </w:rPr>
  </w:style>
  <w:style w:type="paragraph" w:customStyle="1" w:styleId="63">
    <w:name w:val="标题二"/>
    <w:basedOn w:val="1"/>
    <w:qFormat/>
    <w:uiPriority w:val="0"/>
    <w:pPr>
      <w:spacing w:line="400" w:lineRule="exact"/>
      <w:ind w:firstLine="200" w:firstLineChars="200"/>
    </w:pPr>
    <w:rPr>
      <w:rFonts w:ascii="汉仪中黑简" w:hAnsi="宋体" w:eastAsia="汉仪中黑简"/>
      <w:sz w:val="22"/>
      <w:szCs w:val="22"/>
    </w:rPr>
  </w:style>
  <w:style w:type="paragraph" w:customStyle="1" w:styleId="64">
    <w:name w:val="标题三"/>
    <w:basedOn w:val="1"/>
    <w:link w:val="65"/>
    <w:qFormat/>
    <w:uiPriority w:val="0"/>
    <w:pPr>
      <w:spacing w:line="400" w:lineRule="exact"/>
      <w:ind w:firstLine="200" w:firstLineChars="200"/>
    </w:pPr>
    <w:rPr>
      <w:rFonts w:ascii="宋体" w:hAnsi="宋体" w:eastAsia="汉仪书宋一简"/>
      <w:sz w:val="22"/>
      <w:szCs w:val="28"/>
    </w:rPr>
  </w:style>
  <w:style w:type="character" w:customStyle="1" w:styleId="65">
    <w:name w:val="标题三 Char"/>
    <w:basedOn w:val="23"/>
    <w:link w:val="64"/>
    <w:qFormat/>
    <w:uiPriority w:val="0"/>
    <w:rPr>
      <w:rFonts w:ascii="宋体" w:hAnsi="宋体" w:eastAsia="汉仪书宋一简"/>
      <w:kern w:val="2"/>
      <w:sz w:val="22"/>
      <w:szCs w:val="28"/>
    </w:rPr>
  </w:style>
  <w:style w:type="paragraph" w:customStyle="1" w:styleId="66">
    <w:name w:val="标题四"/>
    <w:basedOn w:val="1"/>
    <w:link w:val="67"/>
    <w:qFormat/>
    <w:uiPriority w:val="0"/>
    <w:pPr>
      <w:spacing w:before="260" w:after="260" w:line="415" w:lineRule="auto"/>
      <w:jc w:val="center"/>
      <w:outlineLvl w:val="1"/>
    </w:pPr>
    <w:rPr>
      <w:rFonts w:ascii="宋体" w:hAnsi="宋体" w:eastAsia="黑体"/>
      <w:sz w:val="32"/>
      <w:szCs w:val="32"/>
    </w:rPr>
  </w:style>
  <w:style w:type="character" w:customStyle="1" w:styleId="67">
    <w:name w:val="标题四 Char"/>
    <w:basedOn w:val="23"/>
    <w:link w:val="66"/>
    <w:qFormat/>
    <w:uiPriority w:val="0"/>
    <w:rPr>
      <w:rFonts w:ascii="宋体" w:hAnsi="宋体" w:eastAsia="黑体"/>
      <w:kern w:val="2"/>
      <w:sz w:val="32"/>
      <w:szCs w:val="32"/>
    </w:rPr>
  </w:style>
  <w:style w:type="character" w:customStyle="1" w:styleId="68">
    <w:name w:val="访问过的超链接1"/>
    <w:basedOn w:val="23"/>
    <w:unhideWhenUsed/>
    <w:qFormat/>
    <w:uiPriority w:val="99"/>
    <w:rPr>
      <w:color w:val="800080"/>
      <w:u w:val="single"/>
    </w:rPr>
  </w:style>
  <w:style w:type="paragraph" w:customStyle="1" w:styleId="69">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70">
    <w:name w:val="t1"/>
    <w:basedOn w:val="23"/>
    <w:qFormat/>
    <w:uiPriority w:val="99"/>
    <w:rPr>
      <w:rFonts w:hint="default" w:ascii="Times New Roman" w:hAnsi="Times New Roman" w:cs="Times New Roman"/>
    </w:rPr>
  </w:style>
  <w:style w:type="character" w:customStyle="1" w:styleId="71">
    <w:name w:val="apple-converted-space"/>
    <w:basedOn w:val="23"/>
    <w:qFormat/>
    <w:uiPriority w:val="99"/>
    <w:rPr>
      <w:rFonts w:hint="default" w:ascii="Times New Roman" w:hAnsi="Times New Roman" w:cs="Times New Roman"/>
    </w:rPr>
  </w:style>
  <w:style w:type="paragraph" w:customStyle="1" w:styleId="72">
    <w:name w:val="列出段落2"/>
    <w:basedOn w:val="1"/>
    <w:qFormat/>
    <w:uiPriority w:val="0"/>
    <w:pPr>
      <w:ind w:firstLine="420" w:firstLineChars="200"/>
    </w:pPr>
    <w:rPr>
      <w:rFonts w:ascii="Calibri" w:hAnsi="Calibri"/>
      <w:szCs w:val="22"/>
    </w:rPr>
  </w:style>
  <w:style w:type="paragraph" w:customStyle="1" w:styleId="73">
    <w:name w:val="Table Paragraph"/>
    <w:basedOn w:val="1"/>
    <w:qFormat/>
    <w:uiPriority w:val="1"/>
    <w:rPr>
      <w:rFonts w:ascii="宋体" w:hAnsi="宋体" w:cs="宋体"/>
      <w:szCs w:val="22"/>
    </w:rPr>
  </w:style>
  <w:style w:type="character" w:customStyle="1" w:styleId="74">
    <w:name w:val="标题 3 Char"/>
    <w:basedOn w:val="23"/>
    <w:link w:val="4"/>
    <w:qFormat/>
    <w:uiPriority w:val="0"/>
    <w:rPr>
      <w:b/>
      <w:bCs/>
      <w:kern w:val="2"/>
      <w:sz w:val="32"/>
      <w:szCs w:val="32"/>
    </w:rPr>
  </w:style>
  <w:style w:type="character" w:customStyle="1" w:styleId="75">
    <w:name w:val="shisi"/>
    <w:basedOn w:val="23"/>
    <w:qFormat/>
    <w:uiPriority w:val="0"/>
  </w:style>
  <w:style w:type="paragraph" w:customStyle="1" w:styleId="76">
    <w:name w:val="Char"/>
    <w:basedOn w:val="1"/>
    <w:qFormat/>
    <w:uiPriority w:val="0"/>
    <w:pPr>
      <w:widowControl/>
      <w:spacing w:after="160" w:line="240" w:lineRule="exact"/>
      <w:jc w:val="left"/>
    </w:pPr>
  </w:style>
  <w:style w:type="paragraph" w:customStyle="1" w:styleId="77">
    <w:name w:val="_Style 72"/>
    <w:basedOn w:val="1"/>
    <w:next w:val="60"/>
    <w:qFormat/>
    <w:uiPriority w:val="0"/>
    <w:pPr>
      <w:ind w:firstLine="420" w:firstLineChars="200"/>
    </w:pPr>
    <w:rPr>
      <w:rFonts w:ascii="Calibri" w:hAnsi="Calibri"/>
      <w:szCs w:val="22"/>
    </w:rPr>
  </w:style>
  <w:style w:type="character" w:customStyle="1" w:styleId="78">
    <w:name w:val="纯文本 Char"/>
    <w:link w:val="79"/>
    <w:qFormat/>
    <w:uiPriority w:val="0"/>
    <w:rPr>
      <w:rFonts w:ascii="Courier New" w:hAnsi="Courier New" w:eastAsia="楷体_GB2312"/>
      <w:kern w:val="2"/>
      <w:sz w:val="24"/>
    </w:rPr>
  </w:style>
  <w:style w:type="paragraph" w:customStyle="1" w:styleId="79">
    <w:name w:val="纯文本1"/>
    <w:basedOn w:val="1"/>
    <w:link w:val="78"/>
    <w:qFormat/>
    <w:uiPriority w:val="0"/>
    <w:rPr>
      <w:rFonts w:ascii="Courier New" w:hAnsi="Courier New" w:eastAsia="楷体_GB2312"/>
      <w:sz w:val="24"/>
      <w:szCs w:val="20"/>
    </w:rPr>
  </w:style>
  <w:style w:type="paragraph" w:customStyle="1" w:styleId="80">
    <w:name w:val="样式1"/>
    <w:basedOn w:val="1"/>
    <w:qFormat/>
    <w:uiPriority w:val="0"/>
  </w:style>
  <w:style w:type="paragraph" w:customStyle="1" w:styleId="81">
    <w:name w:val="SF小标题"/>
    <w:basedOn w:val="1"/>
    <w:qFormat/>
    <w:uiPriority w:val="0"/>
    <w:pPr>
      <w:spacing w:beforeLines="25" w:afterLines="25"/>
      <w:ind w:firstLine="200" w:firstLineChars="200"/>
    </w:pPr>
    <w:rPr>
      <w:rFonts w:ascii="黑体" w:hAnsi="Century Gothic" w:eastAsia="黑体" w:cs="黑体"/>
      <w:sz w:val="24"/>
    </w:rPr>
  </w:style>
  <w:style w:type="paragraph" w:customStyle="1" w:styleId="8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83">
    <w:name w:val="列表段落1"/>
    <w:basedOn w:val="1"/>
    <w:qFormat/>
    <w:uiPriority w:val="0"/>
    <w:pPr>
      <w:ind w:firstLine="420" w:firstLineChars="200"/>
    </w:pPr>
    <w:rPr>
      <w:szCs w:val="20"/>
    </w:rPr>
  </w:style>
  <w:style w:type="paragraph" w:customStyle="1" w:styleId="84">
    <w:name w:val="Char2"/>
    <w:basedOn w:val="1"/>
    <w:qFormat/>
    <w:uiPriority w:val="0"/>
    <w:pPr>
      <w:widowControl/>
      <w:spacing w:after="160" w:line="240" w:lineRule="exact"/>
      <w:jc w:val="left"/>
    </w:pPr>
  </w:style>
  <w:style w:type="paragraph" w:customStyle="1" w:styleId="85">
    <w:name w:val="_Style 84"/>
    <w:basedOn w:val="1"/>
    <w:next w:val="60"/>
    <w:qFormat/>
    <w:uiPriority w:val="0"/>
    <w:pPr>
      <w:ind w:firstLine="420" w:firstLineChars="200"/>
    </w:pPr>
    <w:rPr>
      <w:rFonts w:ascii="Calibri" w:hAnsi="Calibri"/>
      <w:szCs w:val="22"/>
    </w:rPr>
  </w:style>
  <w:style w:type="paragraph" w:customStyle="1" w:styleId="86">
    <w:name w:val="_Style 2"/>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87">
    <w:name w:val="_Style 73"/>
    <w:basedOn w:val="1"/>
    <w:next w:val="60"/>
    <w:qFormat/>
    <w:uiPriority w:val="0"/>
    <w:pPr>
      <w:ind w:firstLine="420" w:firstLineChars="200"/>
    </w:pPr>
    <w:rPr>
      <w:rFonts w:ascii="Calibri" w:hAnsi="Calibri"/>
      <w:szCs w:val="22"/>
    </w:rPr>
  </w:style>
  <w:style w:type="paragraph" w:customStyle="1" w:styleId="88">
    <w:name w:val="_Style 87"/>
    <w:basedOn w:val="1"/>
    <w:next w:val="60"/>
    <w:qFormat/>
    <w:uiPriority w:val="99"/>
    <w:pPr>
      <w:ind w:firstLine="420" w:firstLineChars="200"/>
    </w:pPr>
    <w:rPr>
      <w:rFonts w:ascii="Calibri" w:hAnsi="Calibri"/>
      <w:szCs w:val="22"/>
    </w:rPr>
  </w:style>
  <w:style w:type="paragraph" w:customStyle="1" w:styleId="89">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eaVert"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BEAD4-9695-470E-B0F1-D9B2CBBAF1FE}">
  <ds:schemaRefs/>
</ds:datastoreItem>
</file>

<file path=docProps/app.xml><?xml version="1.0" encoding="utf-8"?>
<Properties xmlns="http://schemas.openxmlformats.org/officeDocument/2006/extended-properties" xmlns:vt="http://schemas.openxmlformats.org/officeDocument/2006/docPropsVTypes">
  <Company>sdjy</Company>
  <Pages>19</Pages>
  <Words>11982</Words>
  <Characters>12523</Characters>
  <Lines>241</Lines>
  <Paragraphs>349</Paragraphs>
  <TotalTime>1</TotalTime>
  <ScaleCrop>false</ScaleCrop>
  <LinksUpToDate>false</LinksUpToDate>
  <CharactersWithSpaces>12631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2023-04-23T08:46:00Z</dcterms:created>
  <dc:creator>咕咕</dc:creator>
  <cp:lastModifiedBy>茉莉</cp:lastModifiedBy>
  <cp:lastPrinted>2023-03-05T00:24:00Z</cp:lastPrinted>
  <dcterms:modified xsi:type="dcterms:W3CDTF">2023-05-29T11:27:43Z</dcterms:modified>
  <dc:title>山东省招生委员会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70A8E07E34AC46B7B513B7B1F4BA3B78_13</vt:lpwstr>
  </property>
</Properties>
</file>